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2CF" w:rsidRDefault="00CC62CF" w:rsidP="00CC62CF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  <w:bookmarkStart w:id="0" w:name="_GoBack"/>
      <w:bookmarkEnd w:id="0"/>
      <w:r>
        <w:rPr>
          <w:rFonts w:ascii="Century Gothic" w:hAnsi="Century Gothic"/>
          <w:b/>
          <w:sz w:val="40"/>
          <w:szCs w:val="32"/>
        </w:rPr>
        <w:t>JEFATURA DE SUPERVISIÓN DE PERSONAL.</w:t>
      </w:r>
    </w:p>
    <w:p w:rsidR="00CC62CF" w:rsidRPr="00F37273" w:rsidRDefault="00CC62CF" w:rsidP="00CC62CF">
      <w:pPr>
        <w:ind w:left="-993" w:right="-660"/>
        <w:rPr>
          <w:rFonts w:ascii="Century Gothic" w:hAnsi="Century Gothic"/>
          <w:b/>
          <w:sz w:val="40"/>
          <w:szCs w:val="32"/>
        </w:rPr>
      </w:pPr>
    </w:p>
    <w:p w:rsidR="00CC62CF" w:rsidRPr="00F37273" w:rsidRDefault="00CC62CF" w:rsidP="00CC62CF">
      <w:pPr>
        <w:ind w:left="-993" w:right="-660"/>
        <w:jc w:val="center"/>
        <w:rPr>
          <w:rFonts w:ascii="Century Gothic" w:hAnsi="Century Gothic"/>
          <w:sz w:val="28"/>
          <w:szCs w:val="32"/>
        </w:rPr>
      </w:pPr>
      <w:r>
        <w:rPr>
          <w:rFonts w:ascii="Century Gothic" w:hAnsi="Century Gothic"/>
          <w:sz w:val="28"/>
          <w:szCs w:val="32"/>
        </w:rPr>
        <w:t>JEFE</w:t>
      </w:r>
      <w:r w:rsidRPr="00F37273">
        <w:rPr>
          <w:rFonts w:ascii="Century Gothic" w:hAnsi="Century Gothic"/>
          <w:sz w:val="28"/>
          <w:szCs w:val="32"/>
        </w:rPr>
        <w:t xml:space="preserve"> </w:t>
      </w:r>
      <w:r>
        <w:rPr>
          <w:rFonts w:ascii="Century Gothic" w:hAnsi="Century Gothic"/>
          <w:sz w:val="28"/>
          <w:szCs w:val="32"/>
        </w:rPr>
        <w:t>LIC. GUILLERMO HERNÁNDEZ GONZÁLEZ</w:t>
      </w:r>
    </w:p>
    <w:p w:rsidR="00CC62CF" w:rsidRDefault="00CC62CF" w:rsidP="00CC62CF">
      <w:pPr>
        <w:spacing w:after="0" w:line="360" w:lineRule="auto"/>
        <w:jc w:val="both"/>
        <w:rPr>
          <w:rFonts w:ascii="Montserrat" w:eastAsia="Times New Roman" w:hAnsi="Montserrat" w:cs="Times New Roman"/>
          <w:sz w:val="24"/>
          <w:szCs w:val="24"/>
          <w:lang w:eastAsia="es-MX"/>
        </w:rPr>
      </w:pPr>
    </w:p>
    <w:tbl>
      <w:tblPr>
        <w:tblW w:w="13491" w:type="dxa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91"/>
      </w:tblGrid>
      <w:tr w:rsidR="00CC62CF" w:rsidTr="00E27EF9">
        <w:trPr>
          <w:trHeight w:val="1468"/>
        </w:trPr>
        <w:tc>
          <w:tcPr>
            <w:tcW w:w="13491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</w:tcPr>
          <w:p w:rsidR="00CC62CF" w:rsidRPr="00366340" w:rsidRDefault="00CC62CF" w:rsidP="00E27EF9">
            <w:pPr>
              <w:jc w:val="center"/>
              <w:rPr>
                <w:rFonts w:ascii="Century Gothic" w:eastAsia="Times New Roman" w:hAnsi="Century Gothic" w:cs="Arial"/>
                <w:sz w:val="24"/>
                <w:szCs w:val="24"/>
                <w:lang w:eastAsia="es-MX"/>
              </w:rPr>
            </w:pPr>
            <w:r w:rsidRPr="00DC3C78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Evaluación de Actividad</w:t>
            </w:r>
            <w:r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es del Primer Periodo Anual 2026</w:t>
            </w:r>
            <w:r w:rsidRPr="00DC3C78">
              <w:rPr>
                <w:rFonts w:ascii="Century Gothic" w:eastAsia="Times New Roman" w:hAnsi="Century Gothic" w:cs="Arial"/>
                <w:sz w:val="24"/>
                <w:szCs w:val="24"/>
                <w:lang w:eastAsia="es-MX"/>
              </w:rPr>
              <w:br/>
            </w:r>
            <w:r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>Enero a Marzo de 2026</w:t>
            </w:r>
          </w:p>
          <w:p w:rsidR="00CC62CF" w:rsidRPr="00366340" w:rsidRDefault="00CC62CF" w:rsidP="00E27EF9">
            <w:pPr>
              <w:ind w:left="166"/>
              <w:jc w:val="both"/>
              <w:rPr>
                <w:rFonts w:ascii="Century Gothic" w:hAnsi="Century Gothic"/>
                <w:i/>
                <w:sz w:val="20"/>
              </w:rPr>
            </w:pPr>
            <w:r w:rsidRPr="00366340">
              <w:rPr>
                <w:rFonts w:ascii="Century Gothic" w:hAnsi="Century Gothic"/>
                <w:i/>
                <w:sz w:val="20"/>
              </w:rPr>
              <w:t>Artículo 8, fracción V, inciso n) de la Ley de Transparencia y Acceso a la Información Pública del Estado de Jalisco y sus municipios.</w:t>
            </w:r>
          </w:p>
        </w:tc>
      </w:tr>
    </w:tbl>
    <w:p w:rsidR="00CC62CF" w:rsidRDefault="00CC62CF" w:rsidP="00CC62CF"/>
    <w:p w:rsidR="00CC62CF" w:rsidRDefault="00CC62CF" w:rsidP="00CC62CF">
      <w:pPr>
        <w:jc w:val="center"/>
      </w:pPr>
    </w:p>
    <w:p w:rsidR="00E64ED6" w:rsidRDefault="00CC62CF" w:rsidP="00CC62CF">
      <w:pPr>
        <w:jc w:val="center"/>
      </w:pPr>
      <w:r>
        <w:rPr>
          <w:rFonts w:ascii="Century Gothic" w:hAnsi="Century Gothic"/>
          <w:noProof/>
          <w:sz w:val="24"/>
          <w:szCs w:val="32"/>
          <w:lang w:eastAsia="es-MX"/>
        </w:rPr>
        <w:drawing>
          <wp:inline distT="0" distB="0" distL="0" distR="0" wp14:anchorId="7BB4309D" wp14:editId="4AB9FE0E">
            <wp:extent cx="7804150" cy="2469515"/>
            <wp:effectExtent l="0" t="0" r="6350" b="698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E64ED6" w:rsidSect="0036634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2CF"/>
    <w:rsid w:val="00787743"/>
    <w:rsid w:val="00CC62CF"/>
    <w:rsid w:val="00E6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CDB1BE-D97F-49E2-A6EE-9090A0C0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62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spc="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+mj-lt"/>
                <a:ea typeface="+mj-ea"/>
                <a:cs typeface="+mj-cs"/>
              </a:defRPr>
            </a:pPr>
            <a:r>
              <a:rPr lang="en-US" sz="1800" b="1" i="0" baseline="0">
                <a:effectLst/>
              </a:rPr>
              <a:t>Estadistica de Actividades Realizadas</a:t>
            </a:r>
            <a:endParaRPr lang="es-MX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50000"/>
                    <a:lumOff val="50000"/>
                  </a:sysClr>
                </a:solidFill>
              </a:defRPr>
            </a:pPr>
            <a:endParaRPr lang="en-US"/>
          </a:p>
        </c:rich>
      </c:tx>
      <c:layout>
        <c:manualLayout>
          <c:xMode val="edge"/>
          <c:yMode val="edge"/>
          <c:x val="0.30790476861669752"/>
          <c:y val="1.3565416691131658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600" b="1" i="0" u="none" strike="noStrike" kern="1200" spc="0" normalizeH="0" baseline="0">
              <a:solidFill>
                <a:sysClr val="windowText" lastClr="000000">
                  <a:lumMod val="50000"/>
                  <a:lumOff val="50000"/>
                </a:sysClr>
              </a:solidFill>
              <a:latin typeface="+mj-lt"/>
              <a:ea typeface="+mj-ea"/>
              <a:cs typeface="+mj-cs"/>
            </a:defRPr>
          </a:pPr>
          <a:endParaRPr lang="es-MX"/>
        </a:p>
      </c:txPr>
    </c:title>
    <c:autoTitleDeleted val="0"/>
    <c:plotArea>
      <c:layout>
        <c:manualLayout>
          <c:layoutTarget val="inner"/>
          <c:xMode val="edge"/>
          <c:yMode val="edge"/>
          <c:x val="0.30478553077529269"/>
          <c:y val="0.22667203884163489"/>
          <c:w val="0.41906222659667541"/>
          <c:h val="0.7183923884514436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spPr>
            <a:solidFill>
              <a:srgbClr val="C00000"/>
            </a:solidFill>
          </c:spPr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424-448A-A053-DAA1E4638CB1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424-448A-A053-DAA1E4638CB1}"/>
              </c:ext>
            </c:extLst>
          </c:dPt>
          <c:dPt>
            <c:idx val="2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424-448A-A053-DAA1E4638CB1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424-448A-A053-DAA1E4638CB1}"/>
              </c:ext>
            </c:extLst>
          </c:dPt>
          <c:dPt>
            <c:idx val="4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424-448A-A053-DAA1E4638CB1}"/>
              </c:ext>
            </c:extLst>
          </c:dPt>
          <c:dPt>
            <c:idx val="5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D424-448A-A053-DAA1E4638CB1}"/>
              </c:ext>
            </c:extLst>
          </c:dPt>
          <c:dLbls>
            <c:dLbl>
              <c:idx val="0"/>
              <c:layout>
                <c:manualLayout>
                  <c:x val="7.3230268510984534E-2"/>
                  <c:y val="-8.973343890208508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424-448A-A053-DAA1E4638CB1}"/>
                </c:ext>
              </c:extLst>
            </c:dLbl>
            <c:dLbl>
              <c:idx val="1"/>
              <c:layout>
                <c:manualLayout>
                  <c:x val="-6.5093572009764039E-2"/>
                  <c:y val="-2.6392187912377935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424-448A-A053-DAA1E4638CB1}"/>
                </c:ext>
              </c:extLst>
            </c:dLbl>
            <c:dLbl>
              <c:idx val="2"/>
              <c:layout>
                <c:manualLayout>
                  <c:x val="4.8820179007323028E-3"/>
                  <c:y val="0.1002903140670361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424-448A-A053-DAA1E4638CB1}"/>
                </c:ext>
              </c:extLst>
            </c:dLbl>
            <c:dLbl>
              <c:idx val="3"/>
              <c:layout>
                <c:manualLayout>
                  <c:x val="-2.6037428803905614E-2"/>
                  <c:y val="-7.917656373713383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424-448A-A053-DAA1E4638CB1}"/>
                </c:ext>
              </c:extLst>
            </c:dLbl>
            <c:dLbl>
              <c:idx val="4"/>
              <c:layout>
                <c:manualLayout>
                  <c:x val="2.1155410903173251E-2"/>
                  <c:y val="-9.5011876484560567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424-448A-A053-DAA1E4638C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Hoja1!$A$2:$A$7</c:f>
              <c:strCache>
                <c:ptCount val="6"/>
                <c:pt idx="0">
                  <c:v>Total de oficios</c:v>
                </c:pt>
                <c:pt idx="1">
                  <c:v>Supervisiones Preventivas</c:v>
                </c:pt>
                <c:pt idx="2">
                  <c:v>Supervisiones Contención</c:v>
                </c:pt>
                <c:pt idx="3">
                  <c:v>Supervisiones Correctivas</c:v>
                </c:pt>
                <c:pt idx="4">
                  <c:v>Asesorias</c:v>
                </c:pt>
                <c:pt idx="5">
                  <c:v>Denuncias</c:v>
                </c:pt>
              </c:strCache>
            </c:strRef>
          </c:cat>
          <c:val>
            <c:numRef>
              <c:f>Hoja1!$B$2:$B$7</c:f>
              <c:numCache>
                <c:formatCode>General</c:formatCode>
                <c:ptCount val="6"/>
                <c:pt idx="0">
                  <c:v>70</c:v>
                </c:pt>
                <c:pt idx="1">
                  <c:v>92</c:v>
                </c:pt>
                <c:pt idx="2">
                  <c:v>2</c:v>
                </c:pt>
                <c:pt idx="3">
                  <c:v>3</c:v>
                </c:pt>
                <c:pt idx="4">
                  <c:v>12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424-448A-A053-DAA1E4638C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w11</dc:creator>
  <cp:keywords/>
  <dc:description/>
  <cp:lastModifiedBy>Usuario TNL</cp:lastModifiedBy>
  <cp:revision>2</cp:revision>
  <dcterms:created xsi:type="dcterms:W3CDTF">2026-07-29T19:41:00Z</dcterms:created>
  <dcterms:modified xsi:type="dcterms:W3CDTF">2026-07-29T19:41:00Z</dcterms:modified>
</cp:coreProperties>
</file>