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B411C" w14:textId="77777777" w:rsidR="00E72C21" w:rsidRDefault="00E72C21" w:rsidP="00E72C21"/>
    <w:p w14:paraId="25CD8B0B" w14:textId="77777777" w:rsidR="00E72C21" w:rsidRDefault="00E72C21" w:rsidP="00E72C21"/>
    <w:p w14:paraId="595BDD7E" w14:textId="77777777" w:rsidR="00E72C21" w:rsidRDefault="00E72C21" w:rsidP="00E72C21">
      <w:r>
        <w:rPr>
          <w:noProof/>
        </w:rPr>
        <mc:AlternateContent>
          <mc:Choice Requires="wps">
            <w:drawing>
              <wp:anchor distT="365760" distB="365760" distL="0" distR="0" simplePos="0" relativeHeight="251661312" behindDoc="0" locked="0" layoutInCell="1" allowOverlap="1" wp14:anchorId="1DDED10F" wp14:editId="27B4B78C">
                <wp:simplePos x="0" y="0"/>
                <wp:positionH relativeFrom="margin">
                  <wp:posOffset>2028825</wp:posOffset>
                </wp:positionH>
                <wp:positionV relativeFrom="margin">
                  <wp:posOffset>7341235</wp:posOffset>
                </wp:positionV>
                <wp:extent cx="3858260" cy="895985"/>
                <wp:effectExtent l="0" t="0" r="8890" b="0"/>
                <wp:wrapTopAndBottom/>
                <wp:docPr id="148" name="Rectángulo 154"/>
                <wp:cNvGraphicFramePr/>
                <a:graphic xmlns:a="http://schemas.openxmlformats.org/drawingml/2006/main">
                  <a:graphicData uri="http://schemas.microsoft.com/office/word/2010/wordprocessingShape">
                    <wps:wsp>
                      <wps:cNvSpPr/>
                      <wps:spPr>
                        <a:xfrm>
                          <a:off x="0" y="0"/>
                          <a:ext cx="3858260" cy="895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0B59D" w14:textId="77777777" w:rsidR="00E72C21" w:rsidRDefault="00E72C21" w:rsidP="00E72C21">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rPr>
                            </w:pPr>
                          </w:p>
                          <w:p w14:paraId="5BD41E34" w14:textId="616969B3" w:rsidR="00E72C21" w:rsidRPr="005C7CFD" w:rsidRDefault="00E72C21" w:rsidP="00E72C21">
                            <w:pPr>
                              <w:jc w:val="center"/>
                              <w:rPr>
                                <w:color w:val="FFFFFF" w:themeColor="background1"/>
                              </w:rPr>
                            </w:pPr>
                            <w:r>
                              <w:rPr>
                                <w:color w:val="FFFFFF" w:themeColor="background1"/>
                              </w:rPr>
                              <w:t>26</w:t>
                            </w:r>
                            <w:r w:rsidRPr="005C7CFD">
                              <w:rPr>
                                <w:color w:val="FFFFFF" w:themeColor="background1"/>
                              </w:rPr>
                              <w:t xml:space="preserve"> de Marzo de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ED10F" id="Rectángulo 154" o:spid="_x0000_s1026" style="position:absolute;margin-left:159.75pt;margin-top:578.05pt;width:303.8pt;height:70.55pt;z-index:251661312;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WuZgIAAC8FAAAOAAAAZHJzL2Uyb0RvYy54bWysVE1v2zAMvQ/YfxB0X51kSJEGdYogRYYB&#10;RVssHXpWZKk2IIsapcTOfv0o+SNbW+wwLAeFpshH8pHU9U1bG3ZU6CuwOZ9eTDhTVkJR2Zecf3/a&#10;flpw5oOwhTBgVc5PyvOb1ccP141bqhmUYAqFjECsXzYu52UIbpllXpaqFv4CnLJ0qQFrEegTX7IC&#10;RUPotclmk8ll1gAWDkEq70l7213yVcLXWsnwoLVXgZmcU24hnZjOfTyz1bVYvqBwZSX7NMQ/ZFGL&#10;ylLQEepWBMEOWL2BqiuJ4EGHCwl1BlpXUqUaqJrp5FU1u1I4lWohcrwbafL/D1beH3fuEYmGxvml&#10;JzFW0Wqs4z/lx9pE1mkkS7WBSVJ+XswXs0viVNLd4mp+tZhHNrOzt0MfviioWRRyjtSMxJE43vnQ&#10;mQ4mMZiFbWVMaoixfygIM2qyc4pJCiejop2x35RmVUFJzVKAND1qY5AdBfVdSKlsmHZXpShUp55P&#10;6NenPHqkAhJgRNaU0IjdA8TJfIvdldPbR1eVhm90nvwtsc559EiRwYbRua4s4HsAhqrqI3f2A0kd&#10;NZGl0O5bMoniHorTIzKEbgu8k9uKOnMnfHgUSGNPzaRVDg90aANNzqGXOCsBf76nj/Y0jXTLWUNr&#10;lHP/4yBQcWa+WprTuHODgIOwHwR7qDdAHZrSI+FkEskBgxlEjVA/04avYxS6ElZSrJyHQdyEbpnp&#10;hZBqvU5GtFlOhDu7czJCRzrjnD21zwJdP4yBxvgehgUTy1cz2dlGTwvrQwBdpYE9s9gTTVuZJqZ/&#10;QeLa//6drM7v3OoXAAAA//8DAFBLAwQUAAYACAAAACEAv9UR1OUAAAANAQAADwAAAGRycy9kb3du&#10;cmV2LnhtbEyPwU7DMBBE70j8g7VIXFDrJFVbEuJUiAqJC6ooReLo2EsSEdtp7KZpvp7lBLfdndHs&#10;m3wzmpYN2PvGWQHxPAKGVjnd2ErA4f15dg/MB2m1bJ1FARf0sCmur3KZaXe2bzjsQ8UoxPpMCqhD&#10;6DLOvarRSD93HVrSvlxvZKC1r7ju5ZnCTcuTKFpxIxtLH2rZ4VON6nt/MgK68nNQL1vcLV6n48V9&#10;3E3HrZqEuL0ZHx+ABRzDnxl+8QkdCmIq3clqz1oBizhdkpWEeLmKgZElTdY0lHRK0nUCvMj5/xbF&#10;DwAAAP//AwBQSwECLQAUAAYACAAAACEAtoM4kv4AAADhAQAAEwAAAAAAAAAAAAAAAAAAAAAAW0Nv&#10;bnRlbnRfVHlwZXNdLnhtbFBLAQItABQABgAIAAAAIQA4/SH/1gAAAJQBAAALAAAAAAAAAAAAAAAA&#10;AC8BAABfcmVscy8ucmVsc1BLAQItABQABgAIAAAAIQBEORWuZgIAAC8FAAAOAAAAAAAAAAAAAAAA&#10;AC4CAABkcnMvZTJvRG9jLnhtbFBLAQItABQABgAIAAAAIQC/1RHU5QAAAA0BAAAPAAAAAAAAAAAA&#10;AAAAAMAEAABkcnMvZG93bnJldi54bWxQSwUGAAAAAAQABADzAAAA0gUAAAAA&#10;" filled="f" stroked="f" strokeweight="1pt">
                <v:textbox inset="0,0,0,0">
                  <w:txbxContent>
                    <w:p w14:paraId="42D0B59D" w14:textId="77777777" w:rsidR="00E72C21" w:rsidRDefault="00E72C21" w:rsidP="00E72C21">
                      <w:pPr>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rPr>
                      </w:pPr>
                    </w:p>
                    <w:p w14:paraId="5BD41E34" w14:textId="616969B3" w:rsidR="00E72C21" w:rsidRPr="005C7CFD" w:rsidRDefault="00E72C21" w:rsidP="00E72C21">
                      <w:pPr>
                        <w:jc w:val="center"/>
                        <w:rPr>
                          <w:color w:val="FFFFFF" w:themeColor="background1"/>
                        </w:rPr>
                      </w:pPr>
                      <w:r>
                        <w:rPr>
                          <w:color w:val="FFFFFF" w:themeColor="background1"/>
                        </w:rPr>
                        <w:t>26</w:t>
                      </w:r>
                      <w:r w:rsidRPr="005C7CFD">
                        <w:rPr>
                          <w:color w:val="FFFFFF" w:themeColor="background1"/>
                        </w:rPr>
                        <w:t xml:space="preserve"> de Marzo de 2026</w:t>
                      </w:r>
                    </w:p>
                  </w:txbxContent>
                </v:textbox>
                <w10:wrap type="topAndBottom" anchorx="margin" anchory="margin"/>
              </v:rect>
            </w:pict>
          </mc:Fallback>
        </mc:AlternateContent>
      </w:r>
      <w:r>
        <w:rPr>
          <w:noProof/>
        </w:rPr>
        <w:drawing>
          <wp:anchor distT="0" distB="0" distL="114300" distR="114300" simplePos="0" relativeHeight="251660288" behindDoc="0" locked="0" layoutInCell="1" allowOverlap="1" wp14:anchorId="0EE28992" wp14:editId="23C4510D">
            <wp:simplePos x="0" y="0"/>
            <wp:positionH relativeFrom="page">
              <wp:align>right</wp:align>
            </wp:positionH>
            <wp:positionV relativeFrom="paragraph">
              <wp:posOffset>-1522095</wp:posOffset>
            </wp:positionV>
            <wp:extent cx="7772400" cy="10050517"/>
            <wp:effectExtent l="0" t="0" r="0" b="8255"/>
            <wp:wrapNone/>
            <wp:docPr id="34329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1964" name="Imagen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772400" cy="10050517"/>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44D02F7" w14:textId="77777777" w:rsidR="00E72C21" w:rsidRDefault="00E72C21" w:rsidP="00E72C21"/>
    <w:p w14:paraId="09778F8E" w14:textId="77777777" w:rsidR="00E72C21" w:rsidRDefault="00E72C21" w:rsidP="00E72C21"/>
    <w:p w14:paraId="4ACAFB8C" w14:textId="77777777" w:rsidR="00E72C21" w:rsidRDefault="00E72C21" w:rsidP="00E72C21"/>
    <w:p w14:paraId="68211634" w14:textId="55536C57" w:rsidR="00E72C21" w:rsidRDefault="00E72C21" w:rsidP="00E72C21">
      <w:pPr>
        <w:jc w:val="both"/>
        <w:rPr>
          <w:rFonts w:ascii="Arial" w:hAnsi="Arial" w:cs="Arial"/>
          <w:b/>
          <w:bCs/>
          <w:sz w:val="22"/>
          <w:szCs w:val="22"/>
        </w:rPr>
      </w:pPr>
      <w:r w:rsidRPr="00EA5C82">
        <w:rPr>
          <w:rFonts w:ascii="Arial" w:hAnsi="Arial" w:cs="Arial"/>
          <w:b/>
          <w:bCs/>
          <w:sz w:val="22"/>
          <w:szCs w:val="22"/>
        </w:rPr>
        <w:t>LA MAESTRA CELIA ISABEL GAUNA RUIZ DE LEÓN, EN SU CARÁCTER DE SECRETARIA GENERAL DEL AYUNTAMIENTO CONSTITUCIONAL DE TONALÁ, JALISCO; CON FUNDAMENTO EN LO ESTABLECIDO POR EL NUMERAL 63 DE LA LEY DEL GOBIERNO Y LA ADMINISTRACIÓN PÚBLICA MUNICIPAL DEL ESTADO DE JALISCO; EL NUMERAL 174 FRACCIONES III, VI, VII, XI Y XXIX DEL REGLAMENTO DEL GOBIERNO Y LA ADMINISTRACIÓN</w:t>
      </w:r>
      <w:r>
        <w:rPr>
          <w:rFonts w:ascii="Arial" w:hAnsi="Arial" w:cs="Arial"/>
          <w:b/>
          <w:bCs/>
          <w:sz w:val="22"/>
          <w:szCs w:val="22"/>
        </w:rPr>
        <w:t xml:space="preserve"> </w:t>
      </w:r>
      <w:r w:rsidRPr="00EA5C82">
        <w:rPr>
          <w:rFonts w:ascii="Arial" w:hAnsi="Arial" w:cs="Arial"/>
          <w:b/>
          <w:bCs/>
          <w:sz w:val="22"/>
          <w:szCs w:val="22"/>
        </w:rPr>
        <w:t xml:space="preserve">PÚBLICA DEL AYUNTAMIENTO CONSTITUCIONAL DE TONALÁ, JALISCO; HAGO CONSTAR QUE EN SESIÓN ORDINARIA DE AYUNTAMIENTO DEL DÍA </w:t>
      </w:r>
      <w:r>
        <w:rPr>
          <w:rFonts w:ascii="Arial" w:hAnsi="Arial" w:cs="Arial"/>
          <w:b/>
          <w:bCs/>
          <w:sz w:val="22"/>
          <w:szCs w:val="22"/>
        </w:rPr>
        <w:t xml:space="preserve">26 DE FEBRERO </w:t>
      </w:r>
      <w:r w:rsidRPr="00EA5C82">
        <w:rPr>
          <w:rFonts w:ascii="Arial" w:hAnsi="Arial" w:cs="Arial"/>
          <w:b/>
          <w:bCs/>
          <w:sz w:val="22"/>
          <w:szCs w:val="22"/>
        </w:rPr>
        <w:t>DE 202</w:t>
      </w:r>
      <w:r>
        <w:rPr>
          <w:rFonts w:ascii="Arial" w:hAnsi="Arial" w:cs="Arial"/>
          <w:b/>
          <w:bCs/>
          <w:sz w:val="22"/>
          <w:szCs w:val="22"/>
        </w:rPr>
        <w:t>6</w:t>
      </w:r>
      <w:r w:rsidRPr="00EA5C82">
        <w:rPr>
          <w:rFonts w:ascii="Arial" w:hAnsi="Arial" w:cs="Arial"/>
          <w:b/>
          <w:bCs/>
          <w:sz w:val="22"/>
          <w:szCs w:val="22"/>
        </w:rPr>
        <w:t xml:space="preserve"> SE APROB</w:t>
      </w:r>
      <w:r>
        <w:rPr>
          <w:rFonts w:ascii="Arial" w:hAnsi="Arial" w:cs="Arial"/>
          <w:b/>
          <w:bCs/>
          <w:sz w:val="22"/>
          <w:szCs w:val="22"/>
        </w:rPr>
        <w:t>Ó EL ACUERDO 40</w:t>
      </w:r>
      <w:r w:rsidR="00617D7C">
        <w:rPr>
          <w:rFonts w:ascii="Arial" w:hAnsi="Arial" w:cs="Arial"/>
          <w:b/>
          <w:bCs/>
          <w:sz w:val="22"/>
          <w:szCs w:val="22"/>
        </w:rPr>
        <w:t>5</w:t>
      </w:r>
      <w:r>
        <w:rPr>
          <w:rFonts w:ascii="Arial" w:hAnsi="Arial" w:cs="Arial"/>
          <w:b/>
          <w:bCs/>
          <w:sz w:val="22"/>
          <w:szCs w:val="22"/>
        </w:rPr>
        <w:t xml:space="preserve">, EL CUAL </w:t>
      </w:r>
      <w:r w:rsidRPr="00EA5C82">
        <w:rPr>
          <w:rFonts w:ascii="Arial" w:hAnsi="Arial" w:cs="Arial"/>
          <w:b/>
          <w:bCs/>
          <w:sz w:val="22"/>
          <w:szCs w:val="22"/>
        </w:rPr>
        <w:t>QUEDA DE LA MANERA SIGUIENTE</w:t>
      </w:r>
      <w:r>
        <w:rPr>
          <w:rFonts w:ascii="Arial" w:hAnsi="Arial" w:cs="Arial"/>
          <w:b/>
          <w:bCs/>
          <w:sz w:val="22"/>
          <w:szCs w:val="22"/>
        </w:rPr>
        <w:t>:</w:t>
      </w:r>
    </w:p>
    <w:p w14:paraId="585DBBC1" w14:textId="77777777" w:rsidR="00E72C21" w:rsidRDefault="00E72C21" w:rsidP="00E72C21">
      <w:pPr>
        <w:jc w:val="both"/>
        <w:rPr>
          <w:rFonts w:ascii="Arial" w:hAnsi="Arial" w:cs="Arial"/>
          <w:b/>
          <w:bCs/>
          <w:sz w:val="22"/>
          <w:szCs w:val="22"/>
        </w:rPr>
      </w:pPr>
    </w:p>
    <w:p w14:paraId="15F2F8AA" w14:textId="77777777" w:rsidR="00E72C21" w:rsidRPr="00DB4C0B" w:rsidRDefault="00E72C21" w:rsidP="00E72C21">
      <w:pPr>
        <w:pStyle w:val="western"/>
        <w:spacing w:before="0" w:beforeAutospacing="0"/>
        <w:jc w:val="right"/>
        <w:rPr>
          <w:rFonts w:ascii="Century Gothic" w:hAnsi="Century Gothic"/>
          <w:b/>
          <w:sz w:val="22"/>
          <w:szCs w:val="22"/>
          <w:u w:val="single"/>
        </w:rPr>
      </w:pPr>
      <w:r w:rsidRPr="00DB4C0B">
        <w:rPr>
          <w:rFonts w:ascii="Century Gothic" w:hAnsi="Century Gothic"/>
          <w:b/>
          <w:sz w:val="22"/>
          <w:szCs w:val="22"/>
          <w:u w:val="single"/>
        </w:rPr>
        <w:t>ACUERDO NO. 405</w:t>
      </w:r>
    </w:p>
    <w:p w14:paraId="253A580B" w14:textId="77777777" w:rsidR="00E72C21" w:rsidRPr="00DB4C0B" w:rsidRDefault="00E72C21" w:rsidP="00E72C21">
      <w:pPr>
        <w:jc w:val="both"/>
        <w:rPr>
          <w:rFonts w:ascii="Century Gothic" w:hAnsi="Century Gothic"/>
          <w:sz w:val="20"/>
          <w:szCs w:val="20"/>
        </w:rPr>
      </w:pPr>
      <w:r w:rsidRPr="00DB4C0B">
        <w:rPr>
          <w:rFonts w:ascii="Century Gothic" w:hAnsi="Century Gothic"/>
          <w:b/>
          <w:bCs/>
          <w:smallCaps/>
          <w:sz w:val="20"/>
          <w:szCs w:val="20"/>
        </w:rPr>
        <w:t xml:space="preserve">Cuarto Dictamen de Comisión.- </w:t>
      </w:r>
      <w:r w:rsidRPr="00DB4C0B">
        <w:rPr>
          <w:rFonts w:ascii="Century Gothic" w:hAnsi="Century Gothic"/>
          <w:sz w:val="20"/>
          <w:szCs w:val="20"/>
        </w:rPr>
        <w:t xml:space="preserve">En uso de la voz el Presidente Municipal, Sergio Armando Chávez Dávalos, menciona que, se da cuenta del dictamen que emite la </w:t>
      </w:r>
      <w:r w:rsidRPr="00DB4C0B">
        <w:rPr>
          <w:rFonts w:ascii="Century Gothic" w:hAnsi="Century Gothic" w:cs="Arial"/>
          <w:sz w:val="20"/>
          <w:szCs w:val="20"/>
        </w:rPr>
        <w:t xml:space="preserve">Comisión Edilicia de </w:t>
      </w:r>
      <w:r w:rsidRPr="00DB4C0B">
        <w:rPr>
          <w:rFonts w:ascii="Century Gothic" w:hAnsi="Century Gothic"/>
          <w:sz w:val="20"/>
          <w:szCs w:val="20"/>
        </w:rPr>
        <w:t>Obras Públicas Municipales.</w:t>
      </w:r>
    </w:p>
    <w:p w14:paraId="4A506002" w14:textId="77777777" w:rsidR="00E72C21" w:rsidRPr="00DB4C0B" w:rsidRDefault="00E72C21" w:rsidP="00E72C21">
      <w:pPr>
        <w:jc w:val="both"/>
        <w:rPr>
          <w:rFonts w:ascii="Century Gothic" w:hAnsi="Century Gothic"/>
          <w:sz w:val="20"/>
          <w:szCs w:val="20"/>
        </w:rPr>
      </w:pPr>
    </w:p>
    <w:p w14:paraId="0880078B" w14:textId="77777777" w:rsidR="00E72C21" w:rsidRPr="00DB4C0B" w:rsidRDefault="00E72C21" w:rsidP="00E72C21">
      <w:pPr>
        <w:jc w:val="both"/>
        <w:rPr>
          <w:rFonts w:ascii="Century Gothic" w:hAnsi="Century Gothic"/>
          <w:sz w:val="20"/>
          <w:szCs w:val="20"/>
        </w:rPr>
      </w:pPr>
      <w:r w:rsidRPr="00DB4C0B">
        <w:rPr>
          <w:rFonts w:ascii="Century Gothic" w:hAnsi="Century Gothic"/>
          <w:sz w:val="20"/>
          <w:szCs w:val="20"/>
        </w:rPr>
        <w:t>Los Regidores integrantes de la Comisión Edilicia de Obras Públicas Municipales, con fundamento en lo dispuesto por el artículo 115, fracción II, de la Constitución Política de los Estados Unidos Mexicanos; artículo 77, fracción II, de la Constitución Política del Estado de Jalisco; los artículos diversos de la Ley del Gobierno y la Administración Pública Municipal del Estado de Jalisco; así como los relativos del Reglamento del Gobierno y la Administración Pública del Ayuntamiento Constitucional de Tonalá, Jalisco, nos permitimos presentar a la alta y distinguida consideración de este Ayuntamiento en Pleno, el presente dictamen que tiene por objeto aprobar el Programa Anual de Obras Públicas y Servicios Relacionados con las Mismas para el ejercicio fiscal 2026, razón por la cual hacemos de su conocimiento los siguientes</w:t>
      </w:r>
      <w:r>
        <w:rPr>
          <w:rFonts w:ascii="Century Gothic" w:hAnsi="Century Gothic"/>
          <w:sz w:val="20"/>
          <w:szCs w:val="20"/>
        </w:rPr>
        <w:t>:</w:t>
      </w:r>
    </w:p>
    <w:p w14:paraId="32AE18AB" w14:textId="77777777" w:rsidR="00E72C21" w:rsidRPr="00DB4C0B" w:rsidRDefault="00E72C21" w:rsidP="00E72C21">
      <w:pPr>
        <w:jc w:val="both"/>
        <w:rPr>
          <w:rFonts w:ascii="Century Gothic" w:hAnsi="Century Gothic"/>
          <w:sz w:val="20"/>
          <w:szCs w:val="20"/>
        </w:rPr>
      </w:pPr>
    </w:p>
    <w:p w14:paraId="5BF5224C" w14:textId="77777777" w:rsidR="00E72C21" w:rsidRPr="00DB4C0B" w:rsidRDefault="00E72C21" w:rsidP="00E72C21">
      <w:pPr>
        <w:jc w:val="center"/>
        <w:rPr>
          <w:rFonts w:ascii="Century Gothic" w:hAnsi="Century Gothic"/>
          <w:sz w:val="20"/>
          <w:szCs w:val="20"/>
        </w:rPr>
      </w:pPr>
      <w:r w:rsidRPr="00DB4C0B">
        <w:rPr>
          <w:rFonts w:ascii="Century Gothic" w:hAnsi="Century Gothic"/>
          <w:sz w:val="20"/>
          <w:szCs w:val="20"/>
        </w:rPr>
        <w:t>A N T E C E D E N T E S</w:t>
      </w:r>
    </w:p>
    <w:p w14:paraId="6631B711" w14:textId="77777777" w:rsidR="00E72C21" w:rsidRPr="00DB4C0B" w:rsidRDefault="00E72C21" w:rsidP="00E72C21">
      <w:pPr>
        <w:jc w:val="both"/>
        <w:rPr>
          <w:rFonts w:ascii="Century Gothic" w:hAnsi="Century Gothic"/>
          <w:sz w:val="20"/>
          <w:szCs w:val="20"/>
        </w:rPr>
      </w:pPr>
    </w:p>
    <w:p w14:paraId="1C48F1E0" w14:textId="77777777" w:rsidR="00E72C21" w:rsidRPr="00DB4C0B" w:rsidRDefault="00E72C21" w:rsidP="00E72C21">
      <w:pPr>
        <w:ind w:left="567" w:hanging="567"/>
        <w:jc w:val="both"/>
        <w:rPr>
          <w:rFonts w:ascii="Century Gothic" w:hAnsi="Century Gothic"/>
          <w:sz w:val="20"/>
          <w:szCs w:val="20"/>
        </w:rPr>
      </w:pPr>
      <w:r w:rsidRPr="00DB4C0B">
        <w:rPr>
          <w:rFonts w:ascii="Century Gothic" w:hAnsi="Century Gothic"/>
          <w:sz w:val="20"/>
          <w:szCs w:val="20"/>
        </w:rPr>
        <w:t xml:space="preserve">I.- </w:t>
      </w:r>
      <w:r w:rsidRPr="00DB4C0B">
        <w:rPr>
          <w:rFonts w:ascii="Century Gothic" w:hAnsi="Century Gothic"/>
          <w:sz w:val="20"/>
          <w:szCs w:val="20"/>
        </w:rPr>
        <w:tab/>
        <w:t>Con fecha 03 tres de marzo de la presente anualidad y mediante oficio DGOPT/267/2025</w:t>
      </w:r>
      <w:r>
        <w:rPr>
          <w:rFonts w:ascii="Century Gothic" w:hAnsi="Century Gothic"/>
          <w:sz w:val="20"/>
          <w:szCs w:val="20"/>
        </w:rPr>
        <w:t>,</w:t>
      </w:r>
      <w:r w:rsidRPr="00DB4C0B">
        <w:rPr>
          <w:rFonts w:ascii="Century Gothic" w:hAnsi="Century Gothic"/>
          <w:sz w:val="20"/>
          <w:szCs w:val="20"/>
        </w:rPr>
        <w:t xml:space="preserve"> el Arquitecto Mario Santiago Velázquez en su carácter de Director General de Obras Públicas tuvo a bien remitir a esta Comisión Edilicia un documento que contiene el Programa Anual de Obras Públicas y Servicios Relacionados con las Mismas para el ejercicio fiscal 2026, el cual fue suscrito por el P.A.S. Sergio Armando Chávez Dávalos en su carácter de Presidente Municipal y en unión del referido Director General de Obras Públicas. </w:t>
      </w:r>
    </w:p>
    <w:p w14:paraId="3573EB07" w14:textId="77777777" w:rsidR="00E72C21" w:rsidRPr="00DB4C0B" w:rsidRDefault="00E72C21" w:rsidP="00E72C21">
      <w:pPr>
        <w:ind w:left="567" w:hanging="567"/>
        <w:jc w:val="both"/>
        <w:rPr>
          <w:rFonts w:ascii="Century Gothic" w:hAnsi="Century Gothic"/>
          <w:sz w:val="20"/>
          <w:szCs w:val="20"/>
        </w:rPr>
      </w:pPr>
    </w:p>
    <w:p w14:paraId="3B0C3E6A" w14:textId="77777777" w:rsidR="00E72C21" w:rsidRPr="00DB4C0B" w:rsidRDefault="00E72C21" w:rsidP="00E72C21">
      <w:pPr>
        <w:ind w:left="567" w:hanging="567"/>
        <w:jc w:val="both"/>
        <w:rPr>
          <w:rFonts w:ascii="Century Gothic" w:hAnsi="Century Gothic"/>
          <w:sz w:val="20"/>
          <w:szCs w:val="20"/>
        </w:rPr>
      </w:pPr>
      <w:r w:rsidRPr="00DB4C0B">
        <w:rPr>
          <w:rFonts w:ascii="Century Gothic" w:hAnsi="Century Gothic"/>
          <w:sz w:val="20"/>
          <w:szCs w:val="20"/>
        </w:rPr>
        <w:t xml:space="preserve">II.- </w:t>
      </w:r>
      <w:r w:rsidRPr="00DB4C0B">
        <w:rPr>
          <w:rFonts w:ascii="Century Gothic" w:hAnsi="Century Gothic"/>
          <w:sz w:val="20"/>
          <w:szCs w:val="20"/>
        </w:rPr>
        <w:tab/>
        <w:t xml:space="preserve">El documento de referencia se incorpora a continuación: </w:t>
      </w:r>
    </w:p>
    <w:p w14:paraId="5FC33E4D" w14:textId="77777777" w:rsidR="00E72C21" w:rsidRPr="00DB4C0B" w:rsidRDefault="00E72C21" w:rsidP="00E72C21">
      <w:pPr>
        <w:ind w:left="567" w:hanging="567"/>
        <w:jc w:val="both"/>
        <w:rPr>
          <w:rFonts w:ascii="Century Gothic" w:hAnsi="Century Gothic"/>
          <w:sz w:val="20"/>
          <w:szCs w:val="20"/>
        </w:rPr>
      </w:pPr>
    </w:p>
    <w:p w14:paraId="6039E8FC" w14:textId="77777777" w:rsidR="00E72C21" w:rsidRPr="00DB4C0B" w:rsidRDefault="00E72C21" w:rsidP="00E72C21">
      <w:pPr>
        <w:ind w:left="567" w:hanging="567"/>
        <w:jc w:val="both"/>
        <w:rPr>
          <w:rFonts w:ascii="Century Gothic" w:hAnsi="Century Gothic"/>
          <w:sz w:val="20"/>
          <w:szCs w:val="20"/>
        </w:rPr>
      </w:pPr>
    </w:p>
    <w:p w14:paraId="28AC03A9" w14:textId="77777777" w:rsidR="00E72C21" w:rsidRPr="00DB4C0B" w:rsidRDefault="00E72C21" w:rsidP="00E72C21">
      <w:pPr>
        <w:ind w:left="567" w:hanging="567"/>
        <w:jc w:val="both"/>
        <w:rPr>
          <w:rFonts w:ascii="Century Gothic" w:hAnsi="Century Gothic"/>
          <w:sz w:val="20"/>
          <w:szCs w:val="20"/>
        </w:rPr>
      </w:pPr>
      <w:r w:rsidRPr="00DB4C0B">
        <w:rPr>
          <w:rFonts w:ascii="Century Gothic" w:hAnsi="Century Gothic"/>
          <w:noProof/>
          <w:sz w:val="20"/>
          <w:szCs w:val="20"/>
        </w:rPr>
        <w:lastRenderedPageBreak/>
        <w:drawing>
          <wp:anchor distT="0" distB="0" distL="114300" distR="114300" simplePos="0" relativeHeight="251663360" behindDoc="0" locked="0" layoutInCell="1" allowOverlap="1" wp14:anchorId="02FA9155" wp14:editId="61A619E8">
            <wp:simplePos x="0" y="0"/>
            <wp:positionH relativeFrom="margin">
              <wp:align>center</wp:align>
            </wp:positionH>
            <wp:positionV relativeFrom="paragraph">
              <wp:posOffset>0</wp:posOffset>
            </wp:positionV>
            <wp:extent cx="5135245" cy="6149975"/>
            <wp:effectExtent l="0" t="0" r="8255" b="317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4731" b="3533"/>
                    <a:stretch/>
                  </pic:blipFill>
                  <pic:spPr bwMode="auto">
                    <a:xfrm>
                      <a:off x="0" y="0"/>
                      <a:ext cx="5140273" cy="6156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152463" w14:textId="77777777" w:rsidR="00E72C21" w:rsidRPr="00DB4C0B" w:rsidRDefault="00E72C21" w:rsidP="00E72C21">
      <w:pPr>
        <w:ind w:right="616"/>
        <w:jc w:val="both"/>
        <w:rPr>
          <w:rFonts w:ascii="Century Gothic" w:hAnsi="Century Gothic" w:cs="Arial"/>
          <w:i/>
        </w:rPr>
      </w:pPr>
    </w:p>
    <w:p w14:paraId="4821DA6F" w14:textId="77777777" w:rsidR="00E72C21" w:rsidRPr="00DB4C0B" w:rsidRDefault="00E72C21" w:rsidP="00E72C21">
      <w:pPr>
        <w:jc w:val="center"/>
        <w:rPr>
          <w:rFonts w:ascii="Century Gothic" w:eastAsia="Arial Unicode MS" w:hAnsi="Century Gothic" w:cs="Arial"/>
          <w:b/>
          <w:bCs/>
          <w:sz w:val="28"/>
          <w:szCs w:val="28"/>
        </w:rPr>
      </w:pPr>
    </w:p>
    <w:p w14:paraId="55C5A073" w14:textId="77777777" w:rsidR="00E72C21" w:rsidRPr="00DB4C0B" w:rsidRDefault="00E72C21" w:rsidP="00E72C21">
      <w:pPr>
        <w:jc w:val="center"/>
        <w:rPr>
          <w:rFonts w:ascii="Century Gothic" w:eastAsia="Arial Unicode MS" w:hAnsi="Century Gothic" w:cs="Arial"/>
          <w:b/>
          <w:bCs/>
          <w:sz w:val="28"/>
          <w:szCs w:val="28"/>
        </w:rPr>
      </w:pPr>
    </w:p>
    <w:p w14:paraId="19A94A99" w14:textId="77777777" w:rsidR="00E72C21" w:rsidRPr="00DB4C0B" w:rsidRDefault="00E72C21" w:rsidP="00E72C21">
      <w:pPr>
        <w:jc w:val="center"/>
        <w:rPr>
          <w:rFonts w:ascii="Century Gothic" w:hAnsi="Century Gothic"/>
          <w:sz w:val="20"/>
          <w:szCs w:val="20"/>
        </w:rPr>
      </w:pPr>
      <w:r w:rsidRPr="00DB4C0B">
        <w:rPr>
          <w:rFonts w:ascii="Century Gothic" w:hAnsi="Century Gothic"/>
          <w:noProof/>
          <w:sz w:val="20"/>
          <w:szCs w:val="20"/>
        </w:rPr>
        <w:lastRenderedPageBreak/>
        <w:drawing>
          <wp:anchor distT="0" distB="0" distL="114300" distR="114300" simplePos="0" relativeHeight="251664384" behindDoc="0" locked="0" layoutInCell="1" allowOverlap="1" wp14:anchorId="3C3CC3AF" wp14:editId="022BD85C">
            <wp:simplePos x="0" y="0"/>
            <wp:positionH relativeFrom="margin">
              <wp:align>center</wp:align>
            </wp:positionH>
            <wp:positionV relativeFrom="paragraph">
              <wp:posOffset>133</wp:posOffset>
            </wp:positionV>
            <wp:extent cx="5166360" cy="4284345"/>
            <wp:effectExtent l="0" t="0" r="0" b="190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980" t="10642" r="3715" b="18954"/>
                    <a:stretch/>
                  </pic:blipFill>
                  <pic:spPr bwMode="auto">
                    <a:xfrm>
                      <a:off x="0" y="0"/>
                      <a:ext cx="5166360" cy="4284345"/>
                    </a:xfrm>
                    <a:prstGeom prst="rect">
                      <a:avLst/>
                    </a:prstGeom>
                    <a:noFill/>
                    <a:ln>
                      <a:noFill/>
                    </a:ln>
                    <a:extLst>
                      <a:ext uri="{53640926-AAD7-44D8-BBD7-CCE9431645EC}">
                        <a14:shadowObscured xmlns:a14="http://schemas.microsoft.com/office/drawing/2010/main"/>
                      </a:ext>
                    </a:extLst>
                  </pic:spPr>
                </pic:pic>
              </a:graphicData>
            </a:graphic>
          </wp:anchor>
        </w:drawing>
      </w:r>
    </w:p>
    <w:p w14:paraId="0E9F9BDD" w14:textId="77777777" w:rsidR="00E72C21" w:rsidRPr="00DB4C0B" w:rsidRDefault="00E72C21" w:rsidP="00E72C21">
      <w:pPr>
        <w:jc w:val="center"/>
        <w:rPr>
          <w:rFonts w:ascii="Century Gothic" w:hAnsi="Century Gothic"/>
          <w:sz w:val="20"/>
          <w:szCs w:val="20"/>
        </w:rPr>
      </w:pPr>
      <w:r w:rsidRPr="00DB4C0B">
        <w:rPr>
          <w:rFonts w:ascii="Century Gothic" w:hAnsi="Century Gothic"/>
          <w:sz w:val="20"/>
          <w:szCs w:val="20"/>
        </w:rPr>
        <w:t>C O N S I D E R A C I O N E S</w:t>
      </w:r>
    </w:p>
    <w:p w14:paraId="1C2B1D51" w14:textId="77777777" w:rsidR="00E72C21" w:rsidRPr="00DB4C0B" w:rsidRDefault="00E72C21" w:rsidP="00E72C21">
      <w:pPr>
        <w:jc w:val="center"/>
        <w:rPr>
          <w:rFonts w:ascii="Century Gothic" w:hAnsi="Century Gothic"/>
          <w:sz w:val="20"/>
          <w:szCs w:val="20"/>
        </w:rPr>
      </w:pPr>
    </w:p>
    <w:p w14:paraId="3D107076" w14:textId="77777777" w:rsidR="00E72C21" w:rsidRPr="00DB4C0B" w:rsidRDefault="00E72C21" w:rsidP="00E72C21">
      <w:pPr>
        <w:ind w:left="567" w:hanging="567"/>
        <w:jc w:val="both"/>
        <w:rPr>
          <w:rFonts w:ascii="Century Gothic" w:hAnsi="Century Gothic"/>
          <w:sz w:val="20"/>
          <w:szCs w:val="20"/>
        </w:rPr>
      </w:pPr>
      <w:r w:rsidRPr="00DB4C0B">
        <w:rPr>
          <w:rFonts w:ascii="Century Gothic" w:hAnsi="Century Gothic"/>
          <w:sz w:val="20"/>
          <w:szCs w:val="20"/>
        </w:rPr>
        <w:t xml:space="preserve">1.- </w:t>
      </w:r>
      <w:r w:rsidRPr="00DB4C0B">
        <w:rPr>
          <w:rFonts w:ascii="Century Gothic" w:hAnsi="Century Gothic"/>
          <w:sz w:val="20"/>
          <w:szCs w:val="20"/>
        </w:rPr>
        <w:tab/>
        <w:t>Los que suscribimos exponemos el resultado del estudio, análisis y resolución del asunto presentado ante esta Comisión, en términos del artículo 134 del Reglamento de Gobierno y la Administración Pública del Ayuntamiento Constitucional de Tonalá Jalisco, que a la letra se cita:</w:t>
      </w:r>
    </w:p>
    <w:p w14:paraId="3AB73602" w14:textId="77777777" w:rsidR="00E72C21" w:rsidRPr="00DB4C0B" w:rsidRDefault="00E72C21" w:rsidP="00E72C21">
      <w:pPr>
        <w:ind w:left="567" w:hanging="567"/>
        <w:jc w:val="both"/>
        <w:rPr>
          <w:rFonts w:ascii="Century Gothic" w:hAnsi="Century Gothic"/>
          <w:sz w:val="20"/>
          <w:szCs w:val="20"/>
        </w:rPr>
      </w:pPr>
    </w:p>
    <w:p w14:paraId="219FCE15" w14:textId="77777777" w:rsidR="00E72C21" w:rsidRPr="00DB4C0B" w:rsidRDefault="00E72C21" w:rsidP="00E72C21">
      <w:pPr>
        <w:spacing w:after="120"/>
        <w:ind w:left="851" w:right="283"/>
        <w:jc w:val="both"/>
        <w:rPr>
          <w:rFonts w:ascii="Century Gothic" w:hAnsi="Century Gothic"/>
          <w:i/>
          <w:iCs/>
          <w:sz w:val="18"/>
          <w:szCs w:val="18"/>
        </w:rPr>
      </w:pPr>
      <w:r w:rsidRPr="00DB4C0B">
        <w:rPr>
          <w:rFonts w:ascii="Century Gothic" w:hAnsi="Century Gothic"/>
          <w:i/>
          <w:iCs/>
          <w:sz w:val="18"/>
          <w:szCs w:val="18"/>
        </w:rPr>
        <w:t xml:space="preserve">Artículo 134.- Las Comisiones Edilicias tienen las siguientes atribuciones: </w:t>
      </w:r>
    </w:p>
    <w:p w14:paraId="0AB1CFED" w14:textId="77777777" w:rsidR="00E72C21" w:rsidRPr="00DB4C0B" w:rsidRDefault="00E72C21" w:rsidP="00E72C21">
      <w:pPr>
        <w:spacing w:after="120"/>
        <w:ind w:left="851" w:right="283"/>
        <w:jc w:val="both"/>
        <w:rPr>
          <w:rFonts w:ascii="Century Gothic" w:hAnsi="Century Gothic"/>
          <w:i/>
          <w:iCs/>
          <w:sz w:val="18"/>
          <w:szCs w:val="18"/>
        </w:rPr>
      </w:pPr>
      <w:r w:rsidRPr="00DB4C0B">
        <w:rPr>
          <w:rFonts w:ascii="Century Gothic" w:hAnsi="Century Gothic"/>
          <w:i/>
          <w:iCs/>
          <w:sz w:val="18"/>
          <w:szCs w:val="18"/>
        </w:rPr>
        <w:t>…</w:t>
      </w:r>
    </w:p>
    <w:p w14:paraId="628277D5"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II. </w:t>
      </w:r>
      <w:r w:rsidRPr="00DB4C0B">
        <w:rPr>
          <w:rFonts w:ascii="Century Gothic" w:hAnsi="Century Gothic"/>
          <w:i/>
          <w:iCs/>
          <w:sz w:val="18"/>
          <w:szCs w:val="18"/>
        </w:rPr>
        <w:tab/>
        <w:t xml:space="preserve">Presentar al Ayuntamiento los dictámenes e informes, resultados de sus trabajos e investigaciones y demás documentos relativos a los asuntos que les son turnados; </w:t>
      </w:r>
    </w:p>
    <w:p w14:paraId="423C242F" w14:textId="77777777" w:rsidR="00E72C21" w:rsidRPr="00DB4C0B" w:rsidRDefault="00E72C21" w:rsidP="00E72C21">
      <w:pPr>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III. </w:t>
      </w:r>
      <w:r w:rsidRPr="00DB4C0B">
        <w:rPr>
          <w:rFonts w:ascii="Century Gothic" w:hAnsi="Century Gothic"/>
          <w:i/>
          <w:iCs/>
          <w:sz w:val="18"/>
          <w:szCs w:val="18"/>
        </w:rPr>
        <w:tab/>
        <w:t>Proponer al Ayuntamiento las resoluciones y políticas que deban adoptarse para el mantenimiento de los servicios municipales cuya vigilancia les haya sido encomendada y dar su opinión al Presidente Municipal acerca de los asuntos que correspondan a sus comisiones.</w:t>
      </w:r>
    </w:p>
    <w:p w14:paraId="1844F7F1" w14:textId="77777777" w:rsidR="00E72C21" w:rsidRPr="00DB4C0B" w:rsidRDefault="00E72C21" w:rsidP="00E72C21">
      <w:pPr>
        <w:ind w:left="567" w:hanging="567"/>
        <w:jc w:val="both"/>
        <w:rPr>
          <w:rFonts w:ascii="Century Gothic" w:hAnsi="Century Gothic"/>
          <w:sz w:val="20"/>
          <w:szCs w:val="20"/>
        </w:rPr>
      </w:pPr>
    </w:p>
    <w:p w14:paraId="28E89C5D" w14:textId="77777777" w:rsidR="00E72C21" w:rsidRPr="00DB4C0B" w:rsidRDefault="00E72C21" w:rsidP="00E72C21">
      <w:pPr>
        <w:ind w:left="567" w:hanging="567"/>
        <w:jc w:val="both"/>
        <w:rPr>
          <w:rFonts w:ascii="Century Gothic" w:hAnsi="Century Gothic"/>
          <w:sz w:val="20"/>
          <w:szCs w:val="20"/>
        </w:rPr>
      </w:pPr>
      <w:r w:rsidRPr="00DB4C0B">
        <w:rPr>
          <w:rFonts w:ascii="Century Gothic" w:hAnsi="Century Gothic"/>
          <w:sz w:val="20"/>
          <w:szCs w:val="20"/>
        </w:rPr>
        <w:t xml:space="preserve">2.- </w:t>
      </w:r>
      <w:r w:rsidRPr="00DB4C0B">
        <w:rPr>
          <w:rFonts w:ascii="Century Gothic" w:hAnsi="Century Gothic"/>
          <w:sz w:val="20"/>
          <w:szCs w:val="20"/>
        </w:rPr>
        <w:tab/>
        <w:t>La normatividad federal, particularmente en la Ley de Obras Públicas y Servicios Relacionados con las mismas, establece en su artículo 22, lo siguiente:</w:t>
      </w:r>
    </w:p>
    <w:p w14:paraId="7EC35E05" w14:textId="77777777" w:rsidR="00E72C21" w:rsidRPr="00DB4C0B" w:rsidRDefault="00E72C21" w:rsidP="00E72C21">
      <w:pPr>
        <w:ind w:left="567" w:hanging="567"/>
        <w:jc w:val="both"/>
        <w:rPr>
          <w:rFonts w:ascii="Century Gothic" w:hAnsi="Century Gothic"/>
          <w:sz w:val="20"/>
          <w:szCs w:val="20"/>
        </w:rPr>
      </w:pPr>
    </w:p>
    <w:p w14:paraId="27FAD589" w14:textId="77777777" w:rsidR="00E72C21" w:rsidRPr="00DB4C0B" w:rsidRDefault="00E72C21" w:rsidP="00E72C21">
      <w:pPr>
        <w:spacing w:after="120"/>
        <w:ind w:left="851" w:right="283"/>
        <w:jc w:val="both"/>
        <w:rPr>
          <w:rFonts w:ascii="Century Gothic" w:hAnsi="Century Gothic"/>
          <w:i/>
          <w:iCs/>
          <w:sz w:val="18"/>
          <w:szCs w:val="18"/>
        </w:rPr>
      </w:pPr>
      <w:r w:rsidRPr="00DB4C0B">
        <w:rPr>
          <w:rFonts w:ascii="Century Gothic" w:hAnsi="Century Gothic"/>
          <w:i/>
          <w:iCs/>
          <w:sz w:val="18"/>
          <w:szCs w:val="18"/>
        </w:rPr>
        <w:lastRenderedPageBreak/>
        <w:t>“…ARTÍCULO 22.- Las dependencias y entidades pondrán a disposición del público en general, a través de CompraNet y de su página en Internet, a más tardar el 31 de enero de cada año, su programa anual de obras públicas y servicios relacionados con las mismas correspondiente al ejercicio fiscal de que se trate, con excepción de aquella información que, de conformidad con las disposiciones aplicables, sea de naturaleza reservada o confidencial, en los términos establecidos en la Ley Federal de Transparencia y Acceso a la Información Pública Gubernamental.</w:t>
      </w:r>
    </w:p>
    <w:p w14:paraId="5CDEBC03" w14:textId="77777777" w:rsidR="00E72C21" w:rsidRPr="00DB4C0B" w:rsidRDefault="00E72C21" w:rsidP="00E72C21">
      <w:pPr>
        <w:ind w:left="851" w:right="283"/>
        <w:jc w:val="both"/>
        <w:rPr>
          <w:rFonts w:ascii="Century Gothic" w:hAnsi="Century Gothic"/>
          <w:i/>
          <w:iCs/>
          <w:sz w:val="18"/>
          <w:szCs w:val="18"/>
        </w:rPr>
      </w:pPr>
      <w:r w:rsidRPr="00DB4C0B">
        <w:rPr>
          <w:rFonts w:ascii="Century Gothic" w:hAnsi="Century Gothic"/>
          <w:i/>
          <w:iCs/>
          <w:sz w:val="18"/>
          <w:szCs w:val="18"/>
        </w:rPr>
        <w:t>Las obras públicas y servicios contenidos en el citado programa podrán ser adicionados, modificados, suspendidos o cancelados, sin responsabilidad alguna para la dependencia o entidad de que se trate, debiendo informar de ello a la Secretaría de la Función Pública y actualizar en forma mensual el programa en CompraNet…”</w:t>
      </w:r>
    </w:p>
    <w:p w14:paraId="67DFB7B9" w14:textId="77777777" w:rsidR="00E72C21" w:rsidRPr="00DB4C0B" w:rsidRDefault="00E72C21" w:rsidP="00E72C21">
      <w:pPr>
        <w:ind w:left="567" w:hanging="567"/>
        <w:jc w:val="both"/>
        <w:rPr>
          <w:rFonts w:ascii="Century Gothic" w:hAnsi="Century Gothic"/>
          <w:sz w:val="20"/>
          <w:szCs w:val="20"/>
        </w:rPr>
      </w:pPr>
    </w:p>
    <w:p w14:paraId="0C981EFC" w14:textId="77777777" w:rsidR="00E72C21" w:rsidRPr="00DB4C0B" w:rsidRDefault="00E72C21" w:rsidP="00E72C21">
      <w:pPr>
        <w:ind w:left="567" w:hanging="567"/>
        <w:jc w:val="both"/>
        <w:rPr>
          <w:rFonts w:ascii="Century Gothic" w:hAnsi="Century Gothic"/>
          <w:sz w:val="20"/>
          <w:szCs w:val="20"/>
        </w:rPr>
      </w:pPr>
      <w:r w:rsidRPr="00DB4C0B">
        <w:rPr>
          <w:rFonts w:ascii="Century Gothic" w:hAnsi="Century Gothic"/>
          <w:sz w:val="20"/>
          <w:szCs w:val="20"/>
        </w:rPr>
        <w:t xml:space="preserve">3. </w:t>
      </w:r>
      <w:r w:rsidRPr="00DB4C0B">
        <w:rPr>
          <w:rFonts w:ascii="Century Gothic" w:hAnsi="Century Gothic"/>
          <w:sz w:val="20"/>
          <w:szCs w:val="20"/>
        </w:rPr>
        <w:tab/>
        <w:t>En ese mismo sentido, la misma norma</w:t>
      </w:r>
      <w:r>
        <w:rPr>
          <w:rFonts w:ascii="Century Gothic" w:hAnsi="Century Gothic"/>
          <w:sz w:val="20"/>
          <w:szCs w:val="20"/>
        </w:rPr>
        <w:t>,</w:t>
      </w:r>
      <w:r w:rsidRPr="00DB4C0B">
        <w:rPr>
          <w:rFonts w:ascii="Century Gothic" w:hAnsi="Century Gothic"/>
          <w:sz w:val="20"/>
          <w:szCs w:val="20"/>
        </w:rPr>
        <w:t xml:space="preserve"> en su artículo 1, señala:</w:t>
      </w:r>
    </w:p>
    <w:p w14:paraId="42E956CE" w14:textId="77777777" w:rsidR="00E72C21" w:rsidRPr="00DB4C0B" w:rsidRDefault="00E72C21" w:rsidP="00E72C21">
      <w:pPr>
        <w:ind w:left="567" w:hanging="567"/>
        <w:jc w:val="both"/>
        <w:rPr>
          <w:rFonts w:ascii="Century Gothic" w:hAnsi="Century Gothic"/>
          <w:sz w:val="20"/>
          <w:szCs w:val="20"/>
        </w:rPr>
      </w:pPr>
    </w:p>
    <w:p w14:paraId="0CB3EB97" w14:textId="77777777" w:rsidR="00E72C21" w:rsidRPr="00DB4C0B" w:rsidRDefault="00E72C21" w:rsidP="00E72C21">
      <w:pPr>
        <w:spacing w:after="120"/>
        <w:ind w:left="851" w:right="283"/>
        <w:jc w:val="both"/>
        <w:rPr>
          <w:rFonts w:ascii="Century Gothic" w:hAnsi="Century Gothic"/>
          <w:i/>
          <w:iCs/>
          <w:sz w:val="18"/>
          <w:szCs w:val="18"/>
        </w:rPr>
      </w:pPr>
      <w:r w:rsidRPr="00DB4C0B">
        <w:rPr>
          <w:rFonts w:ascii="Century Gothic" w:hAnsi="Century Gothic"/>
          <w:i/>
          <w:iCs/>
          <w:sz w:val="18"/>
          <w:szCs w:val="18"/>
        </w:rPr>
        <w:t>“…ARTÍCULO 1.- La presente Ley es de orden público y tiene por objeto reglamentar la aplicación del artículo 134 de la Constitución Política de los Estados Unidos Mexicanos en materia de contrataciones de obras públicas, así como de los servicios relacionados con las mismas, que realicen:</w:t>
      </w:r>
    </w:p>
    <w:p w14:paraId="6D61AFA8"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 </w:t>
      </w:r>
      <w:r w:rsidRPr="00DB4C0B">
        <w:rPr>
          <w:rFonts w:ascii="Century Gothic" w:hAnsi="Century Gothic"/>
          <w:i/>
          <w:iCs/>
          <w:sz w:val="18"/>
          <w:szCs w:val="18"/>
        </w:rPr>
        <w:tab/>
        <w:t>Las unidades administrativas de la Presidencia de la República;</w:t>
      </w:r>
    </w:p>
    <w:p w14:paraId="579CBBE3"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II. </w:t>
      </w:r>
      <w:r w:rsidRPr="00DB4C0B">
        <w:rPr>
          <w:rFonts w:ascii="Century Gothic" w:hAnsi="Century Gothic"/>
          <w:i/>
          <w:iCs/>
          <w:sz w:val="18"/>
          <w:szCs w:val="18"/>
        </w:rPr>
        <w:tab/>
        <w:t>Las Secretarías de Estado y la Consejería Jurídica del Ejecutivo Federal;</w:t>
      </w:r>
    </w:p>
    <w:p w14:paraId="32E0D70C"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III. </w:t>
      </w:r>
      <w:r w:rsidRPr="00DB4C0B">
        <w:rPr>
          <w:rFonts w:ascii="Century Gothic" w:hAnsi="Century Gothic"/>
          <w:i/>
          <w:iCs/>
          <w:sz w:val="18"/>
          <w:szCs w:val="18"/>
        </w:rPr>
        <w:tab/>
        <w:t>La Procuraduría General de la República;</w:t>
      </w:r>
    </w:p>
    <w:p w14:paraId="76A6AA31"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IV. </w:t>
      </w:r>
      <w:r w:rsidRPr="00DB4C0B">
        <w:rPr>
          <w:rFonts w:ascii="Century Gothic" w:hAnsi="Century Gothic"/>
          <w:i/>
          <w:iCs/>
          <w:sz w:val="18"/>
          <w:szCs w:val="18"/>
        </w:rPr>
        <w:tab/>
        <w:t>Los organismos descentralizados;</w:t>
      </w:r>
    </w:p>
    <w:p w14:paraId="72DC1AE6"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V. </w:t>
      </w:r>
      <w:r w:rsidRPr="00DB4C0B">
        <w:rPr>
          <w:rFonts w:ascii="Century Gothic" w:hAnsi="Century Gothic"/>
          <w:i/>
          <w:iCs/>
          <w:sz w:val="18"/>
          <w:szCs w:val="18"/>
        </w:rPr>
        <w:tab/>
        <w:t>Las empresas de participación estatal mayoritaria y los fideicomisos en los que el fideicomitente sea el Gobierno Federal o una entidad paraestatal, y</w:t>
      </w:r>
    </w:p>
    <w:p w14:paraId="0100E890" w14:textId="77777777" w:rsidR="00E72C21" w:rsidRPr="00DB4C0B" w:rsidRDefault="00E72C21" w:rsidP="00E72C21">
      <w:pPr>
        <w:ind w:left="1276" w:right="283" w:hanging="425"/>
        <w:jc w:val="both"/>
        <w:rPr>
          <w:rFonts w:ascii="Century Gothic" w:hAnsi="Century Gothic"/>
          <w:i/>
          <w:iCs/>
          <w:sz w:val="18"/>
          <w:szCs w:val="18"/>
        </w:rPr>
      </w:pPr>
      <w:r w:rsidRPr="00DB4C0B">
        <w:rPr>
          <w:rFonts w:ascii="Century Gothic" w:hAnsi="Century Gothic"/>
          <w:i/>
          <w:iCs/>
          <w:sz w:val="18"/>
          <w:szCs w:val="18"/>
        </w:rPr>
        <w:t xml:space="preserve">VI. </w:t>
      </w:r>
      <w:r w:rsidRPr="00DB4C0B">
        <w:rPr>
          <w:rFonts w:ascii="Century Gothic" w:hAnsi="Century Gothic"/>
          <w:i/>
          <w:iCs/>
          <w:sz w:val="18"/>
          <w:szCs w:val="18"/>
        </w:rPr>
        <w:tab/>
        <w:t>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14:paraId="1AE68B4C" w14:textId="77777777" w:rsidR="00E72C21" w:rsidRPr="00DB4C0B" w:rsidRDefault="00E72C21" w:rsidP="00E72C21">
      <w:pPr>
        <w:ind w:left="851" w:right="283"/>
        <w:jc w:val="both"/>
        <w:rPr>
          <w:rFonts w:ascii="Century Gothic" w:hAnsi="Century Gothic"/>
          <w:i/>
          <w:iCs/>
          <w:sz w:val="18"/>
          <w:szCs w:val="18"/>
        </w:rPr>
      </w:pPr>
    </w:p>
    <w:p w14:paraId="197A91D1" w14:textId="77777777" w:rsidR="00E72C21" w:rsidRPr="00DB4C0B" w:rsidRDefault="00E72C21" w:rsidP="00E72C21">
      <w:pPr>
        <w:ind w:left="851" w:right="283"/>
        <w:jc w:val="both"/>
        <w:rPr>
          <w:rFonts w:ascii="Century Gothic" w:hAnsi="Century Gothic"/>
          <w:i/>
          <w:iCs/>
          <w:sz w:val="18"/>
          <w:szCs w:val="18"/>
        </w:rPr>
      </w:pPr>
      <w:r w:rsidRPr="00DB4C0B">
        <w:rPr>
          <w:rFonts w:ascii="Century Gothic" w:hAnsi="Century Gothic"/>
          <w:i/>
          <w:iCs/>
          <w:sz w:val="18"/>
          <w:szCs w:val="18"/>
        </w:rPr>
        <w:t>Las personas de derecho público de carácter federal con autonomía derivada de la Constitución Política de los Estados Unidos Mexicanos, así como las entidades que cuenten con un régimen específico en materia de obras públicas y servicios relacionadas con las mismas, aplicarán los criterios y procedimientos previstos en esta Ley, sólo en lo no previsto en los ordenamientos que los rigen y siempre que no se contrapongan con los mismos, sujetándose a sus propios órganos de control.</w:t>
      </w:r>
    </w:p>
    <w:p w14:paraId="0E38CE8A" w14:textId="77777777" w:rsidR="00E72C21" w:rsidRPr="00DB4C0B" w:rsidRDefault="00E72C21" w:rsidP="00E72C21">
      <w:pPr>
        <w:ind w:left="851" w:right="283"/>
        <w:jc w:val="both"/>
        <w:rPr>
          <w:rFonts w:ascii="Century Gothic" w:hAnsi="Century Gothic"/>
          <w:i/>
          <w:iCs/>
          <w:sz w:val="18"/>
          <w:szCs w:val="18"/>
        </w:rPr>
      </w:pPr>
    </w:p>
    <w:p w14:paraId="34584A87" w14:textId="77777777" w:rsidR="00E72C21" w:rsidRPr="00DB4C0B" w:rsidRDefault="00E72C21" w:rsidP="00E72C21">
      <w:pPr>
        <w:ind w:left="851" w:right="283"/>
        <w:jc w:val="both"/>
        <w:rPr>
          <w:rFonts w:ascii="Century Gothic" w:hAnsi="Century Gothic"/>
          <w:i/>
          <w:iCs/>
          <w:sz w:val="18"/>
          <w:szCs w:val="18"/>
        </w:rPr>
      </w:pPr>
      <w:r w:rsidRPr="00DB4C0B">
        <w:rPr>
          <w:rFonts w:ascii="Century Gothic" w:hAnsi="Century Gothic"/>
          <w:i/>
          <w:iCs/>
          <w:sz w:val="18"/>
          <w:szCs w:val="18"/>
        </w:rPr>
        <w:t>Las obras públicas y servicios relacionados con las mismas que contraten las empresas productivas del Estado y sus empresas productivas subsidiarias quedan excluidos de la aplicación de este ordenamiento.</w:t>
      </w:r>
    </w:p>
    <w:p w14:paraId="3A2FFCB1" w14:textId="77777777" w:rsidR="00E72C21" w:rsidRPr="00DB4C0B" w:rsidRDefault="00E72C21" w:rsidP="00E72C21">
      <w:pPr>
        <w:ind w:left="851" w:right="283"/>
        <w:jc w:val="both"/>
        <w:rPr>
          <w:rFonts w:ascii="Century Gothic" w:hAnsi="Century Gothic"/>
          <w:i/>
          <w:iCs/>
          <w:sz w:val="18"/>
          <w:szCs w:val="18"/>
        </w:rPr>
      </w:pPr>
    </w:p>
    <w:p w14:paraId="5DFDD3C0" w14:textId="77777777" w:rsidR="00E72C21" w:rsidRPr="00DB4C0B" w:rsidRDefault="00E72C21" w:rsidP="00E72C21">
      <w:pPr>
        <w:ind w:left="851" w:right="283"/>
        <w:jc w:val="both"/>
        <w:rPr>
          <w:rFonts w:ascii="Century Gothic" w:hAnsi="Century Gothic"/>
          <w:i/>
          <w:iCs/>
          <w:sz w:val="18"/>
          <w:szCs w:val="18"/>
        </w:rPr>
      </w:pPr>
      <w:r w:rsidRPr="00DB4C0B">
        <w:rPr>
          <w:rFonts w:ascii="Century Gothic" w:hAnsi="Century Gothic"/>
          <w:i/>
          <w:iCs/>
          <w:sz w:val="18"/>
          <w:szCs w:val="18"/>
        </w:rPr>
        <w:t>Los contratos que celebren las dependencias con las entidades, o entre entidades y los actos jurídicos que se celebren entre dependencias, o bien, los que se lleven a cabo entre alguna dependencia o entidad de la Administración Pública Federal con alguna perteneciente a la administración pública de una entidad federativa, no estarán dentro del ámbito de aplicación de esta Ley. Cuando la dependencia o entidad obligada a realizar los trabajos no tenga la capacidad para hacerlo por sí misma y contrate a un tercero para llevarlos a cabo, este acto quedará sujeto a este ordenamiento.</w:t>
      </w:r>
    </w:p>
    <w:p w14:paraId="6DB14CCE" w14:textId="77777777" w:rsidR="00E72C21" w:rsidRPr="00DB4C0B" w:rsidRDefault="00E72C21" w:rsidP="00E72C21">
      <w:pPr>
        <w:ind w:left="851" w:right="283"/>
        <w:jc w:val="both"/>
        <w:rPr>
          <w:rFonts w:ascii="Century Gothic" w:hAnsi="Century Gothic"/>
          <w:i/>
          <w:iCs/>
          <w:sz w:val="18"/>
          <w:szCs w:val="18"/>
        </w:rPr>
      </w:pPr>
    </w:p>
    <w:p w14:paraId="45DC75CB" w14:textId="77777777" w:rsidR="00E72C21" w:rsidRPr="00DB4C0B" w:rsidRDefault="00E72C21" w:rsidP="00E72C21">
      <w:pPr>
        <w:ind w:left="851" w:right="283"/>
        <w:jc w:val="both"/>
        <w:rPr>
          <w:rFonts w:ascii="Century Gothic" w:hAnsi="Century Gothic"/>
          <w:i/>
          <w:iCs/>
          <w:sz w:val="18"/>
          <w:szCs w:val="18"/>
        </w:rPr>
      </w:pPr>
      <w:r w:rsidRPr="00DB4C0B">
        <w:rPr>
          <w:rFonts w:ascii="Century Gothic" w:hAnsi="Century Gothic"/>
          <w:i/>
          <w:iCs/>
          <w:sz w:val="18"/>
          <w:szCs w:val="18"/>
        </w:rPr>
        <w:t xml:space="preserve">No estarán sujetas a las disposiciones de esta Ley, las obras que deban ejecutarse para crear la infraestructura necesaria en la prestación de servicios públicos que los </w:t>
      </w:r>
      <w:r w:rsidRPr="00DB4C0B">
        <w:rPr>
          <w:rFonts w:ascii="Century Gothic" w:hAnsi="Century Gothic"/>
          <w:i/>
          <w:iCs/>
          <w:sz w:val="18"/>
          <w:szCs w:val="18"/>
        </w:rPr>
        <w:lastRenderedPageBreak/>
        <w:t>particulares tengan concesionados, en los términos de la legislación aplicable, cuando éstos las lleven a cabo.</w:t>
      </w:r>
    </w:p>
    <w:p w14:paraId="359FC96F" w14:textId="77777777" w:rsidR="00E72C21" w:rsidRPr="00DB4C0B" w:rsidRDefault="00E72C21" w:rsidP="00E72C21">
      <w:pPr>
        <w:ind w:left="851" w:right="283"/>
        <w:jc w:val="both"/>
        <w:rPr>
          <w:rFonts w:ascii="Century Gothic" w:hAnsi="Century Gothic"/>
          <w:i/>
          <w:iCs/>
          <w:sz w:val="18"/>
          <w:szCs w:val="18"/>
        </w:rPr>
      </w:pPr>
    </w:p>
    <w:p w14:paraId="4DFF7540" w14:textId="77777777" w:rsidR="00E72C21" w:rsidRPr="00DB4C0B" w:rsidRDefault="00E72C21" w:rsidP="00E72C21">
      <w:pPr>
        <w:ind w:left="851" w:right="283"/>
        <w:jc w:val="both"/>
        <w:rPr>
          <w:rFonts w:ascii="Century Gothic" w:hAnsi="Century Gothic"/>
          <w:i/>
          <w:iCs/>
          <w:sz w:val="18"/>
          <w:szCs w:val="18"/>
        </w:rPr>
      </w:pPr>
      <w:r w:rsidRPr="00DB4C0B">
        <w:rPr>
          <w:rFonts w:ascii="Century Gothic" w:hAnsi="Century Gothic"/>
          <w:i/>
          <w:iCs/>
          <w:sz w:val="18"/>
          <w:szCs w:val="18"/>
        </w:rPr>
        <w:t>Las obras asociadas a proyectos de infraestructura que requieran inversión a largo plazo y amortizaciones programadas, estarán sujetas a la aprobación de la Cámara de Diputados conforme a sus facultades constitucionales, la Ley General de Deuda, la Ley Federal de Presupuesto y Responsabilidad Hacendaria, así como las demás disposiciones presupuestarias aplicables. En lo</w:t>
      </w:r>
      <w:r w:rsidRPr="00DB4C0B">
        <w:rPr>
          <w:rFonts w:ascii="Century Gothic" w:hAnsi="Century Gothic" w:cs="Arial"/>
          <w:i/>
          <w:sz w:val="19"/>
          <w:szCs w:val="19"/>
        </w:rPr>
        <w:t xml:space="preserve"> </w:t>
      </w:r>
      <w:r w:rsidRPr="00DB4C0B">
        <w:rPr>
          <w:rFonts w:ascii="Century Gothic" w:hAnsi="Century Gothic"/>
          <w:i/>
          <w:iCs/>
          <w:sz w:val="18"/>
          <w:szCs w:val="18"/>
        </w:rPr>
        <w:t>relativo a los principios que deben contener los contratos, los procedimientos de contratación y ejecución, así como las condiciones de difusión pública, se atenderán conforme a la presente Ley y la Ley Federal de Transparencia y Acceso a la Información Pública Gubernamental.</w:t>
      </w:r>
    </w:p>
    <w:p w14:paraId="5C41EE7E" w14:textId="77777777" w:rsidR="00E72C21" w:rsidRPr="00DB4C0B" w:rsidRDefault="00E72C21" w:rsidP="00E72C21">
      <w:pPr>
        <w:ind w:left="851" w:right="283"/>
        <w:jc w:val="both"/>
        <w:rPr>
          <w:rFonts w:ascii="Century Gothic" w:hAnsi="Century Gothic"/>
          <w:i/>
          <w:iCs/>
          <w:sz w:val="18"/>
          <w:szCs w:val="18"/>
        </w:rPr>
      </w:pPr>
    </w:p>
    <w:p w14:paraId="6867343C" w14:textId="77777777" w:rsidR="00E72C21" w:rsidRPr="00DB4C0B" w:rsidRDefault="00E72C21" w:rsidP="00E72C21">
      <w:pPr>
        <w:ind w:left="851" w:right="283"/>
        <w:jc w:val="both"/>
        <w:rPr>
          <w:rFonts w:ascii="Century Gothic" w:hAnsi="Century Gothic"/>
          <w:i/>
          <w:iCs/>
          <w:sz w:val="18"/>
          <w:szCs w:val="18"/>
        </w:rPr>
      </w:pPr>
      <w:r w:rsidRPr="00DB4C0B">
        <w:rPr>
          <w:rFonts w:ascii="Century Gothic" w:hAnsi="Century Gothic"/>
          <w:i/>
          <w:iCs/>
          <w:sz w:val="18"/>
          <w:szCs w:val="18"/>
        </w:rPr>
        <w:t>Los titulares de las dependencias y los órganos de gobierno de las entidades emitirán, bajo su responsabilidad y de conformidad con este mismo ordenamiento y los lineamientos generales que al efecto emita la Secretaría de la Función Pública, las políticas, bases y lineamientos para las materias a que se refiere este artículo.</w:t>
      </w:r>
    </w:p>
    <w:p w14:paraId="5A4BC12E" w14:textId="77777777" w:rsidR="00E72C21" w:rsidRPr="00DB4C0B" w:rsidRDefault="00E72C21" w:rsidP="00E72C21">
      <w:pPr>
        <w:ind w:left="851" w:right="283"/>
        <w:jc w:val="both"/>
        <w:rPr>
          <w:rFonts w:ascii="Century Gothic" w:hAnsi="Century Gothic"/>
          <w:i/>
          <w:iCs/>
          <w:sz w:val="18"/>
          <w:szCs w:val="18"/>
        </w:rPr>
      </w:pPr>
    </w:p>
    <w:p w14:paraId="273EE452" w14:textId="77777777" w:rsidR="00E72C21" w:rsidRPr="00DB4C0B" w:rsidRDefault="00E72C21" w:rsidP="00E72C21">
      <w:pPr>
        <w:ind w:left="851" w:right="283"/>
        <w:jc w:val="both"/>
        <w:rPr>
          <w:rFonts w:ascii="Century Gothic" w:hAnsi="Century Gothic"/>
          <w:i/>
          <w:iCs/>
          <w:sz w:val="18"/>
          <w:szCs w:val="18"/>
        </w:rPr>
      </w:pPr>
      <w:r w:rsidRPr="00DB4C0B">
        <w:rPr>
          <w:rFonts w:ascii="Century Gothic" w:hAnsi="Century Gothic"/>
          <w:i/>
          <w:iCs/>
          <w:sz w:val="18"/>
          <w:szCs w:val="18"/>
        </w:rPr>
        <w:t>Las dependencias y entidades se abstendrán de crear fideicomisos, otorgar mandatos o celebrar actos o cualquier tipo de contratos, que evadan lo previsto en este ordenamiento.</w:t>
      </w:r>
    </w:p>
    <w:p w14:paraId="32C9D2C4" w14:textId="77777777" w:rsidR="00E72C21" w:rsidRPr="00DB4C0B" w:rsidRDefault="00E72C21" w:rsidP="00E72C21">
      <w:pPr>
        <w:ind w:left="567" w:hanging="567"/>
        <w:jc w:val="both"/>
        <w:rPr>
          <w:rFonts w:ascii="Century Gothic" w:hAnsi="Century Gothic"/>
          <w:sz w:val="20"/>
          <w:szCs w:val="20"/>
        </w:rPr>
      </w:pPr>
    </w:p>
    <w:p w14:paraId="03A76CCB" w14:textId="77777777" w:rsidR="00E72C21" w:rsidRPr="00DB4C0B" w:rsidRDefault="00E72C21" w:rsidP="00E72C21">
      <w:pPr>
        <w:ind w:left="567" w:hanging="567"/>
        <w:jc w:val="both"/>
        <w:rPr>
          <w:rFonts w:ascii="Century Gothic" w:hAnsi="Century Gothic"/>
          <w:sz w:val="20"/>
          <w:szCs w:val="20"/>
        </w:rPr>
      </w:pPr>
      <w:r w:rsidRPr="00DB4C0B">
        <w:rPr>
          <w:rFonts w:ascii="Century Gothic" w:hAnsi="Century Gothic"/>
          <w:sz w:val="20"/>
          <w:szCs w:val="20"/>
        </w:rPr>
        <w:t xml:space="preserve">4. </w:t>
      </w:r>
      <w:r w:rsidRPr="00DB4C0B">
        <w:rPr>
          <w:rFonts w:ascii="Century Gothic" w:hAnsi="Century Gothic"/>
          <w:sz w:val="20"/>
          <w:szCs w:val="20"/>
        </w:rPr>
        <w:tab/>
        <w:t>En el ámbito Municipal, el Reglamento del Gobierno y la Administración Pública del Ayuntamiento Constitucional de Tonalá en el ordinario 354, estipula lo siguiente:</w:t>
      </w:r>
    </w:p>
    <w:p w14:paraId="49055514" w14:textId="77777777" w:rsidR="00E72C21" w:rsidRPr="00DB4C0B" w:rsidRDefault="00E72C21" w:rsidP="00E72C21">
      <w:pPr>
        <w:jc w:val="both"/>
        <w:rPr>
          <w:rFonts w:ascii="Century Gothic" w:hAnsi="Century Gothic"/>
          <w:sz w:val="20"/>
          <w:szCs w:val="20"/>
        </w:rPr>
      </w:pPr>
    </w:p>
    <w:p w14:paraId="6C9DB5FB" w14:textId="77777777" w:rsidR="00E72C21" w:rsidRPr="00DB4C0B" w:rsidRDefault="00E72C21" w:rsidP="00E72C21">
      <w:pPr>
        <w:spacing w:after="120"/>
        <w:ind w:left="851" w:right="283"/>
        <w:jc w:val="both"/>
        <w:rPr>
          <w:rFonts w:ascii="Century Gothic" w:hAnsi="Century Gothic"/>
          <w:i/>
          <w:iCs/>
          <w:sz w:val="18"/>
          <w:szCs w:val="18"/>
        </w:rPr>
      </w:pPr>
      <w:r w:rsidRPr="00DB4C0B">
        <w:rPr>
          <w:rFonts w:ascii="Century Gothic" w:hAnsi="Century Gothic"/>
          <w:i/>
          <w:iCs/>
          <w:sz w:val="18"/>
          <w:szCs w:val="18"/>
        </w:rPr>
        <w:t>“…Artículo 354.- La Dirección General de Obras Públicas tiene como titular a un funcionario público denominado Director General de Obras Públicas, el cual tiene las facultades siguientes:</w:t>
      </w:r>
    </w:p>
    <w:p w14:paraId="795B5697"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 </w:t>
      </w:r>
      <w:r w:rsidRPr="00DB4C0B">
        <w:rPr>
          <w:rFonts w:ascii="Century Gothic" w:hAnsi="Century Gothic"/>
          <w:i/>
          <w:iCs/>
          <w:sz w:val="18"/>
          <w:szCs w:val="18"/>
        </w:rPr>
        <w:tab/>
        <w:t>Elaborar y acordar con el presidente municipal el programa anual de obra pública, conforme a lo previsto en el Presupuesto de Egresos, la legislación y normatividad aplicable en la materia, así como sus ampliaciones, reducciones y cualquier modificación;</w:t>
      </w:r>
    </w:p>
    <w:p w14:paraId="4015DB29"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II. </w:t>
      </w:r>
      <w:r w:rsidRPr="00DB4C0B">
        <w:rPr>
          <w:rFonts w:ascii="Century Gothic" w:hAnsi="Century Gothic"/>
          <w:i/>
          <w:iCs/>
          <w:sz w:val="18"/>
          <w:szCs w:val="18"/>
        </w:rPr>
        <w:tab/>
        <w:t xml:space="preserve">Incluir en el programa anual de obra pública la ejecución de acciones para la prevención de desastres en coordinación con la Dirección de Protección Civil y Bomberos; </w:t>
      </w:r>
    </w:p>
    <w:p w14:paraId="21859AEC"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III. </w:t>
      </w:r>
      <w:r w:rsidRPr="00DB4C0B">
        <w:rPr>
          <w:rFonts w:ascii="Century Gothic" w:hAnsi="Century Gothic"/>
          <w:i/>
          <w:iCs/>
          <w:sz w:val="18"/>
          <w:szCs w:val="18"/>
        </w:rPr>
        <w:tab/>
        <w:t xml:space="preserve">Gestionar ante las diversas dependencias federales, estatales o municipales la asignación de recursos para la ejecución de obras públicas en el territorio municipal, así como las autorizaciones o permisos necesarios para la ejecución de las mismas, apegadas a las leyes, reglamentos y normatividad aplicable; </w:t>
      </w:r>
    </w:p>
    <w:p w14:paraId="1D952036"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IV. </w:t>
      </w:r>
      <w:r w:rsidRPr="00DB4C0B">
        <w:rPr>
          <w:rFonts w:ascii="Century Gothic" w:hAnsi="Century Gothic"/>
          <w:i/>
          <w:iCs/>
          <w:sz w:val="18"/>
          <w:szCs w:val="18"/>
        </w:rPr>
        <w:tab/>
        <w:t>Aprobar y en su caso remitir para su aprobación a las instancias competentes, los estudios, proyectos y presupuestos de las obras públicas a ejecutarse por el municipio, previamente a su iniciación;</w:t>
      </w:r>
    </w:p>
    <w:p w14:paraId="7D016E3D"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V. </w:t>
      </w:r>
      <w:r w:rsidRPr="00DB4C0B">
        <w:rPr>
          <w:rFonts w:ascii="Century Gothic" w:hAnsi="Century Gothic"/>
          <w:i/>
          <w:iCs/>
          <w:sz w:val="18"/>
          <w:szCs w:val="18"/>
        </w:rPr>
        <w:tab/>
        <w:t>Coordinar, dirigir y resolver el proceso de planeación, programación, presupuestación, contratación, gasto, ejecución, control y finiquito de las obras públicas municipales, en los términos de las leyes, reglamentos aplicables, acuerdos, convenios y contratos respectivos;</w:t>
      </w:r>
    </w:p>
    <w:p w14:paraId="3AEF03F6"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VI. </w:t>
      </w:r>
      <w:r w:rsidRPr="00DB4C0B">
        <w:rPr>
          <w:rFonts w:ascii="Century Gothic" w:hAnsi="Century Gothic"/>
          <w:i/>
          <w:iCs/>
          <w:sz w:val="18"/>
          <w:szCs w:val="18"/>
        </w:rPr>
        <w:tab/>
        <w:t>Proponer la autorización y participación en la supervisión de las obras públicas que se realice con fondos federales o estatales en el territorio municipal, en los términos que corresponda;</w:t>
      </w:r>
    </w:p>
    <w:p w14:paraId="7E77BA1F"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lastRenderedPageBreak/>
        <w:t xml:space="preserve">VII. </w:t>
      </w:r>
      <w:r w:rsidRPr="00DB4C0B">
        <w:rPr>
          <w:rFonts w:ascii="Century Gothic" w:hAnsi="Century Gothic"/>
          <w:i/>
          <w:iCs/>
          <w:sz w:val="18"/>
          <w:szCs w:val="18"/>
        </w:rPr>
        <w:tab/>
        <w:t xml:space="preserve">Entregar finiquitos y acordar la recepción de obras públicas por contrato, cuando las mismas se hayan ejecutado en los términos previstos en la legislación, normatividad aplicable, el contrato y el proyecto ejecutivo respectivo; </w:t>
      </w:r>
    </w:p>
    <w:p w14:paraId="522C3B96"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VIII. </w:t>
      </w:r>
      <w:r w:rsidRPr="00DB4C0B">
        <w:rPr>
          <w:rFonts w:ascii="Century Gothic" w:hAnsi="Century Gothic"/>
          <w:i/>
          <w:iCs/>
          <w:sz w:val="18"/>
          <w:szCs w:val="18"/>
        </w:rPr>
        <w:tab/>
        <w:t>Hacer efectivas las garantías por incumplimiento a los contratos de obras públicas en caso de presentarse defectos, vicios ocultos u otras responsabilidades cuando los contratistas no hagan frente a dichos casos, en coordinación con la Sindicatura municipal;</w:t>
      </w:r>
    </w:p>
    <w:p w14:paraId="05F6BAF1"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IX. </w:t>
      </w:r>
      <w:r w:rsidRPr="00DB4C0B">
        <w:rPr>
          <w:rFonts w:ascii="Century Gothic" w:hAnsi="Century Gothic"/>
          <w:i/>
          <w:iCs/>
          <w:sz w:val="18"/>
          <w:szCs w:val="18"/>
        </w:rPr>
        <w:tab/>
        <w:t>Delegar en los peritos de supervisión municipal la función de verificar de obras en el ámbito de su competencia;</w:t>
      </w:r>
    </w:p>
    <w:p w14:paraId="656E7409" w14:textId="77777777" w:rsidR="00E72C21" w:rsidRPr="00DB4C0B" w:rsidRDefault="00E72C21" w:rsidP="00E72C21">
      <w:pPr>
        <w:spacing w:after="120"/>
        <w:ind w:left="1276" w:right="283" w:hanging="425"/>
        <w:jc w:val="both"/>
        <w:rPr>
          <w:rFonts w:ascii="Century Gothic" w:hAnsi="Century Gothic"/>
          <w:i/>
          <w:iCs/>
          <w:sz w:val="18"/>
          <w:szCs w:val="18"/>
        </w:rPr>
      </w:pPr>
      <w:r w:rsidRPr="00DB4C0B">
        <w:rPr>
          <w:rFonts w:ascii="Century Gothic" w:hAnsi="Century Gothic"/>
          <w:i/>
          <w:iCs/>
          <w:sz w:val="18"/>
          <w:szCs w:val="18"/>
        </w:rPr>
        <w:t xml:space="preserve">X. </w:t>
      </w:r>
      <w:r w:rsidRPr="00DB4C0B">
        <w:rPr>
          <w:rFonts w:ascii="Century Gothic" w:hAnsi="Century Gothic"/>
          <w:i/>
          <w:iCs/>
          <w:sz w:val="18"/>
          <w:szCs w:val="18"/>
        </w:rPr>
        <w:tab/>
        <w:t>Ordenar que se lleven a cabo las demoliciones de edificaciones o construcciones, ya sea en cumplimiento de las sentencias definitivas que ordene el Tribunal de lo Administrativo del Estado, o bien, por configurarse los supuestos que establece el Código Urbano para el Estado de Jalisco o cualquier otra normatividad aplicable, previo desahogo del procedimiento por parte de la Sindicatura municipal, a costa de los particulares o servidores públicos según corresponda; y</w:t>
      </w:r>
    </w:p>
    <w:p w14:paraId="596657DB" w14:textId="77777777" w:rsidR="00E72C21" w:rsidRPr="00DB4C0B" w:rsidRDefault="00E72C21" w:rsidP="00E72C21">
      <w:pPr>
        <w:ind w:left="1276" w:right="283" w:hanging="425"/>
        <w:jc w:val="both"/>
        <w:rPr>
          <w:rFonts w:ascii="Century Gothic" w:hAnsi="Century Gothic"/>
          <w:i/>
          <w:iCs/>
          <w:sz w:val="18"/>
          <w:szCs w:val="18"/>
        </w:rPr>
      </w:pPr>
      <w:r w:rsidRPr="00DB4C0B">
        <w:rPr>
          <w:rFonts w:ascii="Century Gothic" w:hAnsi="Century Gothic"/>
          <w:i/>
          <w:iCs/>
          <w:sz w:val="18"/>
          <w:szCs w:val="18"/>
        </w:rPr>
        <w:t xml:space="preserve">XI. </w:t>
      </w:r>
      <w:r w:rsidRPr="00DB4C0B">
        <w:rPr>
          <w:rFonts w:ascii="Century Gothic" w:hAnsi="Century Gothic"/>
          <w:i/>
          <w:iCs/>
          <w:sz w:val="18"/>
          <w:szCs w:val="18"/>
        </w:rPr>
        <w:tab/>
        <w:t>Las demás previstas en la legislación y normatividad aplicable, o que le instruya el presidente municipal…”</w:t>
      </w:r>
    </w:p>
    <w:p w14:paraId="46455D8D" w14:textId="77777777" w:rsidR="00E72C21" w:rsidRPr="00DB4C0B" w:rsidRDefault="00E72C21" w:rsidP="00E72C21">
      <w:pPr>
        <w:ind w:left="567" w:hanging="567"/>
        <w:jc w:val="both"/>
        <w:rPr>
          <w:rFonts w:ascii="Century Gothic" w:hAnsi="Century Gothic"/>
          <w:sz w:val="20"/>
          <w:szCs w:val="20"/>
        </w:rPr>
      </w:pPr>
    </w:p>
    <w:p w14:paraId="6E22C0C3" w14:textId="77777777" w:rsidR="00E72C21" w:rsidRPr="00DB4C0B" w:rsidRDefault="00E72C21" w:rsidP="00E72C21">
      <w:pPr>
        <w:ind w:left="567" w:hanging="567"/>
        <w:jc w:val="both"/>
        <w:rPr>
          <w:rFonts w:ascii="Century Gothic" w:hAnsi="Century Gothic"/>
          <w:sz w:val="20"/>
          <w:szCs w:val="20"/>
        </w:rPr>
      </w:pPr>
      <w:r w:rsidRPr="00DB4C0B">
        <w:rPr>
          <w:rFonts w:ascii="Century Gothic" w:hAnsi="Century Gothic"/>
          <w:sz w:val="20"/>
          <w:szCs w:val="20"/>
        </w:rPr>
        <w:t xml:space="preserve">5. </w:t>
      </w:r>
      <w:r w:rsidRPr="00DB4C0B">
        <w:rPr>
          <w:rFonts w:ascii="Century Gothic" w:hAnsi="Century Gothic"/>
          <w:sz w:val="20"/>
          <w:szCs w:val="20"/>
        </w:rPr>
        <w:tab/>
        <w:t xml:space="preserve">Con fecha 13 de febrero del año 2026 y en la sesión ordinaria correspondiente al mes de febrero fue presentado a los integrantes de esta </w:t>
      </w:r>
      <w:r>
        <w:rPr>
          <w:rFonts w:ascii="Century Gothic" w:hAnsi="Century Gothic"/>
          <w:sz w:val="20"/>
          <w:szCs w:val="20"/>
        </w:rPr>
        <w:t>C</w:t>
      </w:r>
      <w:r w:rsidRPr="00DB4C0B">
        <w:rPr>
          <w:rFonts w:ascii="Century Gothic" w:hAnsi="Century Gothic"/>
          <w:sz w:val="20"/>
          <w:szCs w:val="20"/>
        </w:rPr>
        <w:t>omisión</w:t>
      </w:r>
      <w:r>
        <w:rPr>
          <w:rFonts w:ascii="Century Gothic" w:hAnsi="Century Gothic"/>
          <w:sz w:val="20"/>
          <w:szCs w:val="20"/>
        </w:rPr>
        <w:t xml:space="preserve"> Edilicia</w:t>
      </w:r>
      <w:r w:rsidRPr="00DB4C0B">
        <w:rPr>
          <w:rFonts w:ascii="Century Gothic" w:hAnsi="Century Gothic"/>
          <w:sz w:val="20"/>
          <w:szCs w:val="20"/>
        </w:rPr>
        <w:t xml:space="preserve"> el documento materia del presente dictamen, aunado a ello</w:t>
      </w:r>
      <w:r>
        <w:rPr>
          <w:rFonts w:ascii="Century Gothic" w:hAnsi="Century Gothic"/>
          <w:sz w:val="20"/>
          <w:szCs w:val="20"/>
        </w:rPr>
        <w:t>,</w:t>
      </w:r>
      <w:r w:rsidRPr="00DB4C0B">
        <w:rPr>
          <w:rFonts w:ascii="Century Gothic" w:hAnsi="Century Gothic"/>
          <w:sz w:val="20"/>
          <w:szCs w:val="20"/>
        </w:rPr>
        <w:t xml:space="preserve"> el Director General de Obras Públicas</w:t>
      </w:r>
      <w:r>
        <w:rPr>
          <w:rFonts w:ascii="Century Gothic" w:hAnsi="Century Gothic"/>
          <w:sz w:val="20"/>
          <w:szCs w:val="20"/>
        </w:rPr>
        <w:t>,</w:t>
      </w:r>
      <w:r w:rsidRPr="00DB4C0B">
        <w:rPr>
          <w:rFonts w:ascii="Century Gothic" w:hAnsi="Century Gothic"/>
          <w:sz w:val="20"/>
          <w:szCs w:val="20"/>
        </w:rPr>
        <w:t xml:space="preserve"> Arquitecto Mario Santiago Velázquez tuvo a bien realizar una exposición detalla del mismo así como dilucidó las dudas expuestas por los vocales integrantes, por lo que</w:t>
      </w:r>
      <w:r>
        <w:rPr>
          <w:rFonts w:ascii="Century Gothic" w:hAnsi="Century Gothic"/>
          <w:sz w:val="20"/>
          <w:szCs w:val="20"/>
        </w:rPr>
        <w:t>,</w:t>
      </w:r>
      <w:r w:rsidRPr="00DB4C0B">
        <w:rPr>
          <w:rFonts w:ascii="Century Gothic" w:hAnsi="Century Gothic"/>
          <w:sz w:val="20"/>
          <w:szCs w:val="20"/>
        </w:rPr>
        <w:t xml:space="preserve"> de conformidad con el orden del día propuesto para dicha sesión se procedió a someterlo a votación de los presentes, el cual fue aprobado por la mayoría de los ediles integrantes, de conformidad con la tabla de votación siguiente:</w:t>
      </w:r>
    </w:p>
    <w:p w14:paraId="4649F12D" w14:textId="77777777" w:rsidR="00E72C21" w:rsidRPr="00DB4C0B" w:rsidRDefault="00E72C21" w:rsidP="00E72C21">
      <w:pPr>
        <w:ind w:left="567" w:hanging="567"/>
        <w:jc w:val="both"/>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551"/>
      </w:tblGrid>
      <w:tr w:rsidR="00E72C21" w:rsidRPr="00DB4C0B" w14:paraId="4A809F4E" w14:textId="77777777" w:rsidTr="009E1591">
        <w:trPr>
          <w:trHeight w:val="340"/>
          <w:jc w:val="center"/>
        </w:trPr>
        <w:tc>
          <w:tcPr>
            <w:tcW w:w="5670" w:type="dxa"/>
            <w:shd w:val="clear" w:color="auto" w:fill="D9D9D9" w:themeFill="background1" w:themeFillShade="D9"/>
            <w:vAlign w:val="center"/>
          </w:tcPr>
          <w:p w14:paraId="1DB61A66" w14:textId="77777777" w:rsidR="00E72C21" w:rsidRPr="00DB4C0B" w:rsidRDefault="00E72C21" w:rsidP="009E1591">
            <w:pPr>
              <w:jc w:val="center"/>
              <w:rPr>
                <w:rFonts w:ascii="Century Gothic" w:hAnsi="Century Gothic"/>
                <w:b/>
                <w:smallCaps/>
                <w:sz w:val="20"/>
                <w:szCs w:val="20"/>
              </w:rPr>
            </w:pPr>
            <w:r w:rsidRPr="00DB4C0B">
              <w:rPr>
                <w:rFonts w:ascii="Century Gothic" w:hAnsi="Century Gothic"/>
                <w:b/>
                <w:smallCaps/>
                <w:sz w:val="20"/>
                <w:szCs w:val="20"/>
              </w:rPr>
              <w:t>Regidor:</w:t>
            </w:r>
          </w:p>
        </w:tc>
        <w:tc>
          <w:tcPr>
            <w:tcW w:w="2551" w:type="dxa"/>
            <w:shd w:val="clear" w:color="auto" w:fill="D9D9D9" w:themeFill="background1" w:themeFillShade="D9"/>
            <w:vAlign w:val="center"/>
          </w:tcPr>
          <w:p w14:paraId="6E1F86BB" w14:textId="77777777" w:rsidR="00E72C21" w:rsidRPr="00DB4C0B" w:rsidRDefault="00E72C21" w:rsidP="009E1591">
            <w:pPr>
              <w:jc w:val="center"/>
              <w:rPr>
                <w:rFonts w:ascii="Century Gothic" w:hAnsi="Century Gothic"/>
                <w:b/>
                <w:smallCaps/>
                <w:sz w:val="20"/>
                <w:szCs w:val="20"/>
              </w:rPr>
            </w:pPr>
            <w:r w:rsidRPr="00DB4C0B">
              <w:rPr>
                <w:rFonts w:ascii="Century Gothic" w:hAnsi="Century Gothic"/>
                <w:b/>
                <w:smallCaps/>
                <w:sz w:val="20"/>
                <w:szCs w:val="20"/>
              </w:rPr>
              <w:t>Sentido del voto</w:t>
            </w:r>
            <w:r>
              <w:rPr>
                <w:rFonts w:ascii="Century Gothic" w:hAnsi="Century Gothic"/>
                <w:b/>
                <w:smallCaps/>
                <w:sz w:val="20"/>
                <w:szCs w:val="20"/>
              </w:rPr>
              <w:t>:</w:t>
            </w:r>
          </w:p>
        </w:tc>
      </w:tr>
      <w:tr w:rsidR="00E72C21" w:rsidRPr="00DB4C0B" w14:paraId="4DAC69CE" w14:textId="77777777" w:rsidTr="009E1591">
        <w:trPr>
          <w:trHeight w:val="340"/>
          <w:jc w:val="center"/>
        </w:trPr>
        <w:tc>
          <w:tcPr>
            <w:tcW w:w="5670" w:type="dxa"/>
            <w:vAlign w:val="center"/>
          </w:tcPr>
          <w:p w14:paraId="436C586A" w14:textId="77777777" w:rsidR="00E72C21" w:rsidRPr="00DB4C0B" w:rsidRDefault="00E72C21" w:rsidP="009E1591">
            <w:pPr>
              <w:jc w:val="center"/>
              <w:rPr>
                <w:rFonts w:ascii="Century Gothic" w:hAnsi="Century Gothic"/>
                <w:sz w:val="20"/>
                <w:szCs w:val="20"/>
              </w:rPr>
            </w:pPr>
            <w:r w:rsidRPr="00DB4C0B">
              <w:rPr>
                <w:rFonts w:ascii="Century Gothic" w:hAnsi="Century Gothic"/>
                <w:sz w:val="20"/>
                <w:szCs w:val="20"/>
              </w:rPr>
              <w:t>Verónica Yanira Sepúlveda Velázquez</w:t>
            </w:r>
          </w:p>
        </w:tc>
        <w:tc>
          <w:tcPr>
            <w:tcW w:w="2551" w:type="dxa"/>
            <w:vAlign w:val="center"/>
          </w:tcPr>
          <w:p w14:paraId="2E88B59F" w14:textId="77777777" w:rsidR="00E72C21" w:rsidRPr="00DB4C0B" w:rsidRDefault="00E72C21" w:rsidP="009E1591">
            <w:pPr>
              <w:jc w:val="center"/>
              <w:rPr>
                <w:rFonts w:ascii="Century Gothic" w:hAnsi="Century Gothic"/>
                <w:sz w:val="20"/>
                <w:szCs w:val="20"/>
              </w:rPr>
            </w:pPr>
            <w:r>
              <w:rPr>
                <w:rFonts w:ascii="Century Gothic" w:hAnsi="Century Gothic"/>
                <w:sz w:val="20"/>
                <w:szCs w:val="20"/>
              </w:rPr>
              <w:t>A</w:t>
            </w:r>
            <w:r w:rsidRPr="00DB4C0B">
              <w:rPr>
                <w:rFonts w:ascii="Century Gothic" w:hAnsi="Century Gothic"/>
                <w:sz w:val="20"/>
                <w:szCs w:val="20"/>
              </w:rPr>
              <w:t xml:space="preserve"> favor</w:t>
            </w:r>
          </w:p>
        </w:tc>
      </w:tr>
      <w:tr w:rsidR="00E72C21" w:rsidRPr="00DB4C0B" w14:paraId="1ECDA7A2" w14:textId="77777777" w:rsidTr="009E1591">
        <w:trPr>
          <w:trHeight w:val="340"/>
          <w:jc w:val="center"/>
        </w:trPr>
        <w:tc>
          <w:tcPr>
            <w:tcW w:w="5670" w:type="dxa"/>
            <w:shd w:val="clear" w:color="auto" w:fill="F2F2F2" w:themeFill="background1" w:themeFillShade="F2"/>
            <w:vAlign w:val="center"/>
          </w:tcPr>
          <w:p w14:paraId="6A63E3E4" w14:textId="77777777" w:rsidR="00E72C21" w:rsidRPr="00DB4C0B" w:rsidRDefault="00E72C21" w:rsidP="009E1591">
            <w:pPr>
              <w:jc w:val="center"/>
              <w:rPr>
                <w:rFonts w:ascii="Century Gothic" w:hAnsi="Century Gothic"/>
                <w:sz w:val="20"/>
                <w:szCs w:val="20"/>
              </w:rPr>
            </w:pPr>
            <w:r w:rsidRPr="00DB4C0B">
              <w:rPr>
                <w:rFonts w:ascii="Century Gothic" w:hAnsi="Century Gothic"/>
                <w:sz w:val="20"/>
                <w:szCs w:val="20"/>
              </w:rPr>
              <w:t>Francisco Javier Arana Orozco</w:t>
            </w:r>
          </w:p>
        </w:tc>
        <w:tc>
          <w:tcPr>
            <w:tcW w:w="2551" w:type="dxa"/>
            <w:shd w:val="clear" w:color="auto" w:fill="F2F2F2" w:themeFill="background1" w:themeFillShade="F2"/>
            <w:vAlign w:val="center"/>
          </w:tcPr>
          <w:p w14:paraId="152A9CCA" w14:textId="77777777" w:rsidR="00E72C21" w:rsidRPr="00DB4C0B" w:rsidRDefault="00E72C21" w:rsidP="009E1591">
            <w:pPr>
              <w:jc w:val="center"/>
              <w:rPr>
                <w:rFonts w:ascii="Century Gothic" w:hAnsi="Century Gothic"/>
                <w:sz w:val="20"/>
                <w:szCs w:val="20"/>
              </w:rPr>
            </w:pPr>
            <w:r w:rsidRPr="00DB4C0B">
              <w:rPr>
                <w:rFonts w:ascii="Century Gothic" w:hAnsi="Century Gothic"/>
                <w:sz w:val="20"/>
                <w:szCs w:val="20"/>
              </w:rPr>
              <w:t>A</w:t>
            </w:r>
            <w:r>
              <w:rPr>
                <w:rFonts w:ascii="Century Gothic" w:hAnsi="Century Gothic"/>
                <w:sz w:val="20"/>
                <w:szCs w:val="20"/>
              </w:rPr>
              <w:t xml:space="preserve"> f</w:t>
            </w:r>
            <w:r w:rsidRPr="00DB4C0B">
              <w:rPr>
                <w:rFonts w:ascii="Century Gothic" w:hAnsi="Century Gothic"/>
                <w:sz w:val="20"/>
                <w:szCs w:val="20"/>
              </w:rPr>
              <w:t>avor</w:t>
            </w:r>
          </w:p>
        </w:tc>
      </w:tr>
      <w:tr w:rsidR="00E72C21" w:rsidRPr="00DB4C0B" w14:paraId="4458EB66" w14:textId="77777777" w:rsidTr="009E1591">
        <w:trPr>
          <w:trHeight w:val="340"/>
          <w:jc w:val="center"/>
        </w:trPr>
        <w:tc>
          <w:tcPr>
            <w:tcW w:w="5670" w:type="dxa"/>
            <w:vAlign w:val="center"/>
          </w:tcPr>
          <w:p w14:paraId="52A4B8CF" w14:textId="77777777" w:rsidR="00E72C21" w:rsidRPr="00DB4C0B" w:rsidRDefault="00E72C21" w:rsidP="009E1591">
            <w:pPr>
              <w:jc w:val="center"/>
              <w:rPr>
                <w:rFonts w:ascii="Century Gothic" w:hAnsi="Century Gothic"/>
                <w:sz w:val="20"/>
                <w:szCs w:val="20"/>
              </w:rPr>
            </w:pPr>
            <w:r w:rsidRPr="00DB4C0B">
              <w:rPr>
                <w:rFonts w:ascii="Century Gothic" w:hAnsi="Century Gothic"/>
                <w:sz w:val="20"/>
                <w:szCs w:val="20"/>
              </w:rPr>
              <w:t>Dulce Yunu</w:t>
            </w:r>
            <w:r>
              <w:rPr>
                <w:rFonts w:ascii="Century Gothic" w:hAnsi="Century Gothic"/>
                <w:sz w:val="20"/>
                <w:szCs w:val="20"/>
              </w:rPr>
              <w:t>é</w:t>
            </w:r>
            <w:r w:rsidRPr="00DB4C0B">
              <w:rPr>
                <w:rFonts w:ascii="Century Gothic" w:hAnsi="Century Gothic"/>
                <w:sz w:val="20"/>
                <w:szCs w:val="20"/>
              </w:rPr>
              <w:t>n García Venegas</w:t>
            </w:r>
          </w:p>
        </w:tc>
        <w:tc>
          <w:tcPr>
            <w:tcW w:w="2551" w:type="dxa"/>
            <w:vAlign w:val="center"/>
          </w:tcPr>
          <w:p w14:paraId="1452B791" w14:textId="77777777" w:rsidR="00E72C21" w:rsidRPr="00DB4C0B" w:rsidRDefault="00E72C21" w:rsidP="009E1591">
            <w:pPr>
              <w:jc w:val="center"/>
              <w:rPr>
                <w:rFonts w:ascii="Century Gothic" w:hAnsi="Century Gothic"/>
                <w:sz w:val="20"/>
                <w:szCs w:val="20"/>
              </w:rPr>
            </w:pPr>
            <w:r w:rsidRPr="00DB4C0B">
              <w:rPr>
                <w:rFonts w:ascii="Century Gothic" w:hAnsi="Century Gothic"/>
                <w:sz w:val="20"/>
                <w:szCs w:val="20"/>
              </w:rPr>
              <w:t xml:space="preserve">A </w:t>
            </w:r>
            <w:r>
              <w:rPr>
                <w:rFonts w:ascii="Century Gothic" w:hAnsi="Century Gothic"/>
                <w:sz w:val="20"/>
                <w:szCs w:val="20"/>
              </w:rPr>
              <w:t>f</w:t>
            </w:r>
            <w:r w:rsidRPr="00DB4C0B">
              <w:rPr>
                <w:rFonts w:ascii="Century Gothic" w:hAnsi="Century Gothic"/>
                <w:sz w:val="20"/>
                <w:szCs w:val="20"/>
              </w:rPr>
              <w:t>avor</w:t>
            </w:r>
          </w:p>
        </w:tc>
      </w:tr>
    </w:tbl>
    <w:p w14:paraId="224B8AF6" w14:textId="77777777" w:rsidR="00E72C21" w:rsidRPr="00DB4C0B" w:rsidRDefault="00E72C21" w:rsidP="00E72C21">
      <w:pPr>
        <w:jc w:val="center"/>
        <w:rPr>
          <w:rFonts w:ascii="Century Gothic" w:hAnsi="Century Gothic"/>
          <w:sz w:val="20"/>
          <w:szCs w:val="20"/>
        </w:rPr>
      </w:pPr>
    </w:p>
    <w:p w14:paraId="471ED037" w14:textId="77777777" w:rsidR="00E72C21" w:rsidRPr="00DB4C0B" w:rsidRDefault="00E72C21" w:rsidP="00E72C21">
      <w:pPr>
        <w:jc w:val="center"/>
        <w:rPr>
          <w:rFonts w:ascii="Century Gothic" w:hAnsi="Century Gothic"/>
          <w:sz w:val="20"/>
          <w:szCs w:val="20"/>
        </w:rPr>
      </w:pPr>
      <w:r w:rsidRPr="00DB4C0B">
        <w:rPr>
          <w:rFonts w:ascii="Century Gothic" w:hAnsi="Century Gothic"/>
          <w:sz w:val="20"/>
          <w:szCs w:val="20"/>
        </w:rPr>
        <w:t>C O N C L U S I O N E S</w:t>
      </w:r>
    </w:p>
    <w:p w14:paraId="0426A773" w14:textId="77777777" w:rsidR="00E72C21" w:rsidRPr="00DB4C0B" w:rsidRDefault="00E72C21" w:rsidP="00E72C21">
      <w:pPr>
        <w:jc w:val="both"/>
        <w:rPr>
          <w:rFonts w:ascii="Century Gothic" w:hAnsi="Century Gothic" w:cs="Arial"/>
          <w:sz w:val="20"/>
          <w:szCs w:val="20"/>
        </w:rPr>
      </w:pPr>
    </w:p>
    <w:p w14:paraId="59F2959B" w14:textId="77777777" w:rsidR="00E72C21" w:rsidRPr="00DB4C0B" w:rsidRDefault="00E72C21" w:rsidP="00E72C21">
      <w:pPr>
        <w:jc w:val="both"/>
        <w:rPr>
          <w:rFonts w:ascii="Century Gothic" w:hAnsi="Century Gothic" w:cs="Arial"/>
          <w:sz w:val="20"/>
          <w:szCs w:val="20"/>
        </w:rPr>
      </w:pPr>
      <w:r w:rsidRPr="00DB4C0B">
        <w:rPr>
          <w:rFonts w:ascii="Century Gothic" w:hAnsi="Century Gothic" w:cs="Arial"/>
          <w:sz w:val="20"/>
          <w:szCs w:val="20"/>
        </w:rPr>
        <w:t>El presente dictamen tiene por finalidad analizar la propuesta presentada por el Presidente Municipal</w:t>
      </w:r>
      <w:r>
        <w:rPr>
          <w:rFonts w:ascii="Century Gothic" w:hAnsi="Century Gothic" w:cs="Arial"/>
          <w:sz w:val="20"/>
          <w:szCs w:val="20"/>
        </w:rPr>
        <w:t>,</w:t>
      </w:r>
      <w:r w:rsidRPr="00DB4C0B">
        <w:rPr>
          <w:rFonts w:ascii="Century Gothic" w:hAnsi="Century Gothic" w:cs="Arial"/>
          <w:sz w:val="20"/>
          <w:szCs w:val="20"/>
        </w:rPr>
        <w:t xml:space="preserve"> P.A.S. Sergio Armando Chávez Dávalos y el Arq. Mario Santiago Velázquez, Director General de Obras Públicas, respecto de la aprobación del Programa Anual de Obras Públicas y Servicios Relacionados con las Mismas para el ejercicio fiscal 2026. </w:t>
      </w:r>
    </w:p>
    <w:p w14:paraId="4A62494E" w14:textId="77777777" w:rsidR="00E72C21" w:rsidRPr="00DB4C0B" w:rsidRDefault="00E72C21" w:rsidP="00E72C21">
      <w:pPr>
        <w:jc w:val="both"/>
        <w:rPr>
          <w:rFonts w:ascii="Century Gothic" w:hAnsi="Century Gothic" w:cs="Arial"/>
          <w:sz w:val="20"/>
          <w:szCs w:val="20"/>
        </w:rPr>
      </w:pPr>
    </w:p>
    <w:p w14:paraId="37A301B0" w14:textId="77777777" w:rsidR="00E72C21" w:rsidRPr="00DB4C0B" w:rsidRDefault="00E72C21" w:rsidP="00E72C21">
      <w:pPr>
        <w:jc w:val="both"/>
        <w:rPr>
          <w:rFonts w:ascii="Century Gothic" w:hAnsi="Century Gothic" w:cs="Arial"/>
          <w:sz w:val="20"/>
          <w:szCs w:val="20"/>
        </w:rPr>
      </w:pPr>
      <w:r w:rsidRPr="00DB4C0B">
        <w:rPr>
          <w:rFonts w:ascii="Century Gothic" w:hAnsi="Century Gothic" w:cs="Arial"/>
          <w:sz w:val="20"/>
          <w:szCs w:val="20"/>
        </w:rPr>
        <w:t>Por lo anteriormente expuesto y fundado, nos permitimos someter a consideración, el siguiente punto de</w:t>
      </w:r>
      <w:r>
        <w:rPr>
          <w:rFonts w:ascii="Century Gothic" w:hAnsi="Century Gothic" w:cs="Arial"/>
          <w:sz w:val="20"/>
          <w:szCs w:val="20"/>
        </w:rPr>
        <w:t>:</w:t>
      </w:r>
    </w:p>
    <w:p w14:paraId="03849A4D" w14:textId="77777777" w:rsidR="00E72C21" w:rsidRPr="00DB4C0B" w:rsidRDefault="00E72C21" w:rsidP="00E72C21">
      <w:pPr>
        <w:jc w:val="both"/>
        <w:rPr>
          <w:rFonts w:ascii="Century Gothic" w:hAnsi="Century Gothic" w:cs="Arial"/>
          <w:sz w:val="20"/>
          <w:szCs w:val="20"/>
        </w:rPr>
      </w:pPr>
    </w:p>
    <w:p w14:paraId="11203BE4" w14:textId="77777777" w:rsidR="00E72C21" w:rsidRPr="00DB4C0B" w:rsidRDefault="00E72C21" w:rsidP="00E72C21">
      <w:pPr>
        <w:jc w:val="center"/>
        <w:rPr>
          <w:rFonts w:ascii="Century Gothic" w:hAnsi="Century Gothic" w:cs="Arial"/>
          <w:sz w:val="20"/>
          <w:szCs w:val="20"/>
        </w:rPr>
      </w:pPr>
      <w:r w:rsidRPr="00DB4C0B">
        <w:rPr>
          <w:rFonts w:ascii="Century Gothic" w:hAnsi="Century Gothic" w:cs="Arial"/>
          <w:sz w:val="20"/>
          <w:szCs w:val="20"/>
        </w:rPr>
        <w:t>A C U E R D O</w:t>
      </w:r>
    </w:p>
    <w:p w14:paraId="1CA64AFC" w14:textId="77777777" w:rsidR="00E72C21" w:rsidRPr="00DB4C0B" w:rsidRDefault="00E72C21" w:rsidP="00E72C21">
      <w:pPr>
        <w:jc w:val="both"/>
        <w:rPr>
          <w:rFonts w:ascii="Century Gothic" w:hAnsi="Century Gothic" w:cs="Arial"/>
          <w:sz w:val="20"/>
          <w:szCs w:val="20"/>
        </w:rPr>
      </w:pPr>
    </w:p>
    <w:p w14:paraId="32975F05" w14:textId="77777777" w:rsidR="00E72C21" w:rsidRPr="00DB4C0B" w:rsidRDefault="00E72C21" w:rsidP="00E72C21">
      <w:pPr>
        <w:jc w:val="both"/>
        <w:rPr>
          <w:rFonts w:ascii="Century Gothic" w:hAnsi="Century Gothic" w:cs="Arial"/>
          <w:sz w:val="20"/>
          <w:szCs w:val="20"/>
        </w:rPr>
      </w:pPr>
      <w:r w:rsidRPr="00DB4C0B">
        <w:rPr>
          <w:rFonts w:ascii="Century Gothic" w:hAnsi="Century Gothic" w:cs="Arial"/>
          <w:sz w:val="20"/>
          <w:szCs w:val="20"/>
        </w:rPr>
        <w:t xml:space="preserve">PRIMERO.- Se aprueba el Programa Anual de Obra Pública y Servicios Relacionados con las mismas para el ejercicio fiscal 2026, por el monto de $499’927,779.00 (CUATROCIENTOS NOVENTA Y NUEVE MILLONES NOVECIENTOS VEINTISIETE MIL SETECIENTOS SETENTA Y NUEVE </w:t>
      </w:r>
      <w:r w:rsidRPr="00DB4C0B">
        <w:rPr>
          <w:rFonts w:ascii="Century Gothic" w:hAnsi="Century Gothic" w:cs="Arial"/>
          <w:sz w:val="20"/>
          <w:szCs w:val="20"/>
        </w:rPr>
        <w:lastRenderedPageBreak/>
        <w:t>PESOS 00/100 M.N.), con recursos provenientes de: COMISIÓN ESTATAL DEL AGUA (CEA), RECURSOS PROPIOS, RECURSOS ESTATALES, RAMO 33 (FAISMUN - FONDO DE APORTACIONES PARA LA INFRAESTRUCTURA SOCIAL MUNICIPAL), SISTEMA INTERMUNICIPAL DE AGUA POTABLE Y ALCANTARILLADO (SIAPA) y a la siguiente descripción de fondos de inversión para la realización de obra:</w:t>
      </w:r>
    </w:p>
    <w:p w14:paraId="74250281" w14:textId="77777777" w:rsidR="00E72C21" w:rsidRPr="00DB4C0B" w:rsidRDefault="00E72C21" w:rsidP="00E72C21">
      <w:pPr>
        <w:jc w:val="both"/>
        <w:rPr>
          <w:rFonts w:ascii="Century Gothic" w:hAnsi="Century Gothic" w:cs="Arial"/>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151"/>
        <w:gridCol w:w="2677"/>
      </w:tblGrid>
      <w:tr w:rsidR="00E72C21" w:rsidRPr="00DB4C0B" w14:paraId="18BB93FD" w14:textId="77777777" w:rsidTr="009E1591">
        <w:trPr>
          <w:trHeight w:val="567"/>
        </w:trPr>
        <w:tc>
          <w:tcPr>
            <w:tcW w:w="65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4ADDF7D6" w14:textId="77777777" w:rsidR="00E72C21" w:rsidRPr="00DB4C0B" w:rsidRDefault="00E72C21" w:rsidP="009E1591">
            <w:pPr>
              <w:jc w:val="center"/>
              <w:rPr>
                <w:rFonts w:ascii="Century Gothic" w:hAnsi="Century Gothic" w:cs="Arial"/>
                <w:b/>
                <w:sz w:val="19"/>
                <w:szCs w:val="19"/>
              </w:rPr>
            </w:pPr>
            <w:r w:rsidRPr="00DB4C0B">
              <w:rPr>
                <w:rFonts w:ascii="Century Gothic" w:hAnsi="Century Gothic" w:cs="Arial"/>
                <w:b/>
                <w:color w:val="000000"/>
                <w:sz w:val="19"/>
                <w:szCs w:val="19"/>
              </w:rPr>
              <w:t>PARTIDA / EJECUTOR</w:t>
            </w:r>
          </w:p>
        </w:tc>
        <w:tc>
          <w:tcPr>
            <w:tcW w:w="21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14:paraId="4079B904" w14:textId="77777777" w:rsidR="00E72C21" w:rsidRPr="00DB4C0B" w:rsidRDefault="00E72C21" w:rsidP="009E1591">
            <w:pPr>
              <w:jc w:val="center"/>
              <w:rPr>
                <w:rFonts w:ascii="Century Gothic" w:hAnsi="Century Gothic" w:cs="Arial"/>
                <w:b/>
                <w:sz w:val="19"/>
                <w:szCs w:val="19"/>
              </w:rPr>
            </w:pPr>
            <w:r w:rsidRPr="00DB4C0B">
              <w:rPr>
                <w:rFonts w:ascii="Century Gothic" w:hAnsi="Century Gothic" w:cs="Arial"/>
                <w:b/>
                <w:color w:val="000000"/>
                <w:sz w:val="19"/>
                <w:szCs w:val="19"/>
              </w:rPr>
              <w:t>INVERSIÓN</w:t>
            </w:r>
          </w:p>
        </w:tc>
      </w:tr>
      <w:tr w:rsidR="00E72C21" w:rsidRPr="00DB4C0B" w14:paraId="295A3644" w14:textId="77777777" w:rsidTr="009E1591">
        <w:trPr>
          <w:trHeight w:val="397"/>
        </w:trPr>
        <w:tc>
          <w:tcPr>
            <w:tcW w:w="6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919F6" w14:textId="77777777" w:rsidR="00E72C21" w:rsidRPr="00DB4C0B" w:rsidRDefault="00E72C21" w:rsidP="009E1591">
            <w:pPr>
              <w:rPr>
                <w:rFonts w:ascii="Century Gothic" w:hAnsi="Century Gothic" w:cs="Arial"/>
                <w:sz w:val="19"/>
                <w:szCs w:val="19"/>
              </w:rPr>
            </w:pPr>
            <w:r w:rsidRPr="00DB4C0B">
              <w:rPr>
                <w:rFonts w:ascii="Century Gothic" w:hAnsi="Century Gothic" w:cs="Arial"/>
                <w:color w:val="000000"/>
                <w:sz w:val="19"/>
                <w:szCs w:val="19"/>
              </w:rPr>
              <w:t>COMISIÓN ESTATAL DEL AGUA (CEA)</w:t>
            </w:r>
          </w:p>
        </w:tc>
        <w:tc>
          <w:tcPr>
            <w:tcW w:w="2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5F665" w14:textId="77777777" w:rsidR="00E72C21" w:rsidRPr="00DB4C0B" w:rsidRDefault="00E72C21" w:rsidP="009E1591">
            <w:pPr>
              <w:jc w:val="right"/>
              <w:rPr>
                <w:rFonts w:ascii="Century Gothic" w:hAnsi="Century Gothic" w:cs="Arial"/>
                <w:sz w:val="19"/>
                <w:szCs w:val="19"/>
              </w:rPr>
            </w:pPr>
            <w:r w:rsidRPr="00DB4C0B">
              <w:rPr>
                <w:rFonts w:ascii="Century Gothic" w:hAnsi="Century Gothic" w:cs="Arial"/>
                <w:color w:val="000000"/>
                <w:sz w:val="19"/>
                <w:szCs w:val="19"/>
              </w:rPr>
              <w:t>$9’000,000.00</w:t>
            </w:r>
          </w:p>
        </w:tc>
      </w:tr>
      <w:tr w:rsidR="00E72C21" w:rsidRPr="00DB4C0B" w14:paraId="7D7B9E1D" w14:textId="77777777" w:rsidTr="009E1591">
        <w:trPr>
          <w:trHeight w:val="397"/>
        </w:trPr>
        <w:tc>
          <w:tcPr>
            <w:tcW w:w="65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04E0A3AD" w14:textId="77777777" w:rsidR="00E72C21" w:rsidRPr="00DB4C0B" w:rsidRDefault="00E72C21" w:rsidP="009E1591">
            <w:pPr>
              <w:rPr>
                <w:rFonts w:ascii="Century Gothic" w:hAnsi="Century Gothic" w:cs="Arial"/>
                <w:sz w:val="19"/>
                <w:szCs w:val="19"/>
              </w:rPr>
            </w:pPr>
            <w:r w:rsidRPr="00DB4C0B">
              <w:rPr>
                <w:rFonts w:ascii="Century Gothic" w:hAnsi="Century Gothic" w:cs="Arial"/>
                <w:color w:val="000000"/>
                <w:sz w:val="19"/>
                <w:szCs w:val="19"/>
              </w:rPr>
              <w:t>RECURSOS PROPIOS</w:t>
            </w:r>
          </w:p>
        </w:tc>
        <w:tc>
          <w:tcPr>
            <w:tcW w:w="21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38F3D693" w14:textId="77777777" w:rsidR="00E72C21" w:rsidRPr="00DB4C0B" w:rsidRDefault="00E72C21" w:rsidP="009E1591">
            <w:pPr>
              <w:jc w:val="right"/>
              <w:rPr>
                <w:rFonts w:ascii="Century Gothic" w:hAnsi="Century Gothic" w:cs="Arial"/>
                <w:sz w:val="19"/>
                <w:szCs w:val="19"/>
              </w:rPr>
            </w:pPr>
            <w:r w:rsidRPr="00DB4C0B">
              <w:rPr>
                <w:rFonts w:ascii="Century Gothic" w:hAnsi="Century Gothic" w:cs="Arial"/>
                <w:color w:val="000000"/>
                <w:sz w:val="19"/>
                <w:szCs w:val="19"/>
              </w:rPr>
              <w:t>$100’000,000.00</w:t>
            </w:r>
          </w:p>
        </w:tc>
      </w:tr>
      <w:tr w:rsidR="00E72C21" w:rsidRPr="00DB4C0B" w14:paraId="54A3F4A4" w14:textId="77777777" w:rsidTr="009E1591">
        <w:trPr>
          <w:trHeight w:val="397"/>
        </w:trPr>
        <w:tc>
          <w:tcPr>
            <w:tcW w:w="6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6DC124" w14:textId="77777777" w:rsidR="00E72C21" w:rsidRPr="00DB4C0B" w:rsidRDefault="00E72C21" w:rsidP="009E1591">
            <w:pPr>
              <w:rPr>
                <w:rFonts w:ascii="Century Gothic" w:hAnsi="Century Gothic" w:cs="Arial"/>
                <w:color w:val="000000"/>
                <w:sz w:val="19"/>
                <w:szCs w:val="19"/>
              </w:rPr>
            </w:pPr>
            <w:r w:rsidRPr="00DB4C0B">
              <w:rPr>
                <w:rFonts w:ascii="Century Gothic" w:hAnsi="Century Gothic" w:cs="Arial"/>
                <w:color w:val="000000"/>
                <w:sz w:val="19"/>
                <w:szCs w:val="19"/>
              </w:rPr>
              <w:t>RECURSOS ESTATALES</w:t>
            </w:r>
          </w:p>
        </w:tc>
        <w:tc>
          <w:tcPr>
            <w:tcW w:w="2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972645" w14:textId="77777777" w:rsidR="00E72C21" w:rsidRPr="00DB4C0B" w:rsidRDefault="00E72C21" w:rsidP="009E1591">
            <w:pPr>
              <w:jc w:val="right"/>
              <w:rPr>
                <w:rFonts w:ascii="Century Gothic" w:hAnsi="Century Gothic" w:cs="Arial"/>
                <w:sz w:val="19"/>
                <w:szCs w:val="19"/>
              </w:rPr>
            </w:pPr>
            <w:r w:rsidRPr="00DB4C0B">
              <w:rPr>
                <w:rFonts w:ascii="Century Gothic" w:hAnsi="Century Gothic" w:cs="Arial"/>
                <w:color w:val="000000"/>
                <w:sz w:val="19"/>
                <w:szCs w:val="19"/>
              </w:rPr>
              <w:t>$245’000,000.00</w:t>
            </w:r>
          </w:p>
        </w:tc>
      </w:tr>
      <w:tr w:rsidR="00E72C21" w:rsidRPr="00DB4C0B" w14:paraId="51E78A5A" w14:textId="77777777" w:rsidTr="009E1591">
        <w:trPr>
          <w:trHeight w:val="567"/>
        </w:trPr>
        <w:tc>
          <w:tcPr>
            <w:tcW w:w="65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30ED0DAC" w14:textId="77777777" w:rsidR="00E72C21" w:rsidRPr="00DB4C0B" w:rsidRDefault="00E72C21" w:rsidP="009E1591">
            <w:pPr>
              <w:rPr>
                <w:rFonts w:ascii="Century Gothic" w:hAnsi="Century Gothic" w:cs="Arial"/>
                <w:sz w:val="19"/>
                <w:szCs w:val="19"/>
              </w:rPr>
            </w:pPr>
            <w:r w:rsidRPr="00DB4C0B">
              <w:rPr>
                <w:rFonts w:ascii="Century Gothic" w:hAnsi="Century Gothic" w:cs="Arial"/>
                <w:color w:val="000000"/>
                <w:sz w:val="19"/>
                <w:szCs w:val="19"/>
              </w:rPr>
              <w:t>RAMO 33 (FAISMUN - FONDO DE INFRAESTRUCTURA SOCIAL MUNICIPAL)</w:t>
            </w:r>
          </w:p>
        </w:tc>
        <w:tc>
          <w:tcPr>
            <w:tcW w:w="21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11324E03" w14:textId="77777777" w:rsidR="00E72C21" w:rsidRPr="00DB4C0B" w:rsidRDefault="00E72C21" w:rsidP="009E1591">
            <w:pPr>
              <w:jc w:val="right"/>
              <w:rPr>
                <w:rFonts w:ascii="Century Gothic" w:hAnsi="Century Gothic" w:cs="Arial"/>
                <w:sz w:val="19"/>
                <w:szCs w:val="19"/>
              </w:rPr>
            </w:pPr>
            <w:r w:rsidRPr="00DB4C0B">
              <w:rPr>
                <w:rFonts w:ascii="Century Gothic" w:hAnsi="Century Gothic" w:cs="Arial"/>
                <w:color w:val="000000"/>
                <w:sz w:val="19"/>
                <w:szCs w:val="19"/>
              </w:rPr>
              <w:t>$113’927,779.00</w:t>
            </w:r>
          </w:p>
        </w:tc>
      </w:tr>
      <w:tr w:rsidR="00E72C21" w:rsidRPr="00DB4C0B" w14:paraId="1F6097BE" w14:textId="77777777" w:rsidTr="009E1591">
        <w:trPr>
          <w:trHeight w:val="567"/>
        </w:trPr>
        <w:tc>
          <w:tcPr>
            <w:tcW w:w="6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B3808D" w14:textId="77777777" w:rsidR="00E72C21" w:rsidRPr="00DB4C0B" w:rsidRDefault="00E72C21" w:rsidP="009E1591">
            <w:pPr>
              <w:rPr>
                <w:rFonts w:ascii="Century Gothic" w:hAnsi="Century Gothic" w:cs="Arial"/>
                <w:sz w:val="19"/>
                <w:szCs w:val="19"/>
              </w:rPr>
            </w:pPr>
            <w:r w:rsidRPr="00DB4C0B">
              <w:rPr>
                <w:rFonts w:ascii="Century Gothic" w:hAnsi="Century Gothic" w:cs="Arial"/>
                <w:color w:val="000000"/>
                <w:sz w:val="19"/>
                <w:szCs w:val="19"/>
              </w:rPr>
              <w:t>SISTEMA INTERMUNICIPAL DE LOS SERVICIOS DE AGUA POTABLE Y ALCANTARILLADO (SIAPA)</w:t>
            </w:r>
          </w:p>
        </w:tc>
        <w:tc>
          <w:tcPr>
            <w:tcW w:w="2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57839B" w14:textId="77777777" w:rsidR="00E72C21" w:rsidRPr="00DB4C0B" w:rsidRDefault="00E72C21" w:rsidP="009E1591">
            <w:pPr>
              <w:jc w:val="right"/>
              <w:rPr>
                <w:rFonts w:ascii="Century Gothic" w:hAnsi="Century Gothic" w:cs="Arial"/>
                <w:sz w:val="19"/>
                <w:szCs w:val="19"/>
              </w:rPr>
            </w:pPr>
            <w:r w:rsidRPr="00DB4C0B">
              <w:rPr>
                <w:rFonts w:ascii="Century Gothic" w:hAnsi="Century Gothic" w:cs="Arial"/>
                <w:color w:val="000000"/>
                <w:sz w:val="19"/>
                <w:szCs w:val="19"/>
              </w:rPr>
              <w:t>$32’000,000.00</w:t>
            </w:r>
          </w:p>
        </w:tc>
      </w:tr>
      <w:tr w:rsidR="00E72C21" w:rsidRPr="00DB4C0B" w14:paraId="7AE31ED3" w14:textId="77777777" w:rsidTr="009E1591">
        <w:trPr>
          <w:trHeight w:val="397"/>
        </w:trPr>
        <w:tc>
          <w:tcPr>
            <w:tcW w:w="65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57AA23F9" w14:textId="77777777" w:rsidR="00E72C21" w:rsidRPr="00DB4C0B" w:rsidRDefault="00E72C21" w:rsidP="009E1591">
            <w:pPr>
              <w:jc w:val="right"/>
              <w:rPr>
                <w:rFonts w:ascii="Century Gothic" w:hAnsi="Century Gothic" w:cs="Arial"/>
                <w:b/>
                <w:bCs/>
                <w:sz w:val="19"/>
                <w:szCs w:val="19"/>
              </w:rPr>
            </w:pPr>
            <w:r w:rsidRPr="00DB4C0B">
              <w:rPr>
                <w:rFonts w:ascii="Century Gothic" w:hAnsi="Century Gothic" w:cs="Arial"/>
                <w:b/>
                <w:bCs/>
                <w:sz w:val="19"/>
                <w:szCs w:val="19"/>
              </w:rPr>
              <w:t>TOTAL</w:t>
            </w:r>
            <w:r>
              <w:rPr>
                <w:rFonts w:ascii="Century Gothic" w:hAnsi="Century Gothic" w:cs="Arial"/>
                <w:b/>
                <w:bCs/>
                <w:sz w:val="19"/>
                <w:szCs w:val="19"/>
              </w:rPr>
              <w:t>:</w:t>
            </w:r>
          </w:p>
        </w:tc>
        <w:tc>
          <w:tcPr>
            <w:tcW w:w="21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3532DA07" w14:textId="77777777" w:rsidR="00E72C21" w:rsidRPr="00DB4C0B" w:rsidRDefault="00E72C21" w:rsidP="009E1591">
            <w:pPr>
              <w:jc w:val="right"/>
              <w:rPr>
                <w:rFonts w:ascii="Century Gothic" w:hAnsi="Century Gothic" w:cs="Arial"/>
                <w:b/>
                <w:sz w:val="19"/>
                <w:szCs w:val="19"/>
              </w:rPr>
            </w:pPr>
            <w:r w:rsidRPr="00DB4C0B">
              <w:rPr>
                <w:rFonts w:ascii="Century Gothic" w:hAnsi="Century Gothic" w:cs="Arial"/>
                <w:b/>
                <w:color w:val="000000"/>
                <w:sz w:val="19"/>
                <w:szCs w:val="19"/>
              </w:rPr>
              <w:t xml:space="preserve">$499’927,779.00 </w:t>
            </w:r>
          </w:p>
        </w:tc>
      </w:tr>
      <w:tr w:rsidR="00E72C21" w:rsidRPr="00DB4C0B" w14:paraId="21E89E6B" w14:textId="77777777" w:rsidTr="009E1591">
        <w:trPr>
          <w:trHeight w:val="62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26E26" w14:textId="77777777" w:rsidR="00E72C21" w:rsidRPr="00DB4C0B" w:rsidRDefault="00E72C21" w:rsidP="009E1591">
            <w:pPr>
              <w:jc w:val="both"/>
              <w:rPr>
                <w:rFonts w:ascii="Century Gothic" w:hAnsi="Century Gothic" w:cs="Arial"/>
                <w:sz w:val="19"/>
                <w:szCs w:val="19"/>
              </w:rPr>
            </w:pPr>
            <w:r w:rsidRPr="00DB4C0B">
              <w:rPr>
                <w:rFonts w:ascii="Century Gothic" w:hAnsi="Century Gothic" w:cs="Arial"/>
                <w:bCs/>
                <w:i/>
                <w:iCs/>
                <w:color w:val="000000"/>
                <w:sz w:val="19"/>
                <w:szCs w:val="19"/>
              </w:rPr>
              <w:t>* LA EJECUCIÓN DE LAS OBRAS ESTA SUJETA A DISPONIBILIDAD FINANCIERA DE LA DEPENDENCIA O SECRETAR</w:t>
            </w:r>
            <w:r>
              <w:rPr>
                <w:rFonts w:ascii="Century Gothic" w:hAnsi="Century Gothic" w:cs="Arial"/>
                <w:bCs/>
                <w:i/>
                <w:iCs/>
                <w:color w:val="000000"/>
                <w:sz w:val="19"/>
                <w:szCs w:val="19"/>
              </w:rPr>
              <w:t>Í</w:t>
            </w:r>
            <w:r w:rsidRPr="00DB4C0B">
              <w:rPr>
                <w:rFonts w:ascii="Century Gothic" w:hAnsi="Century Gothic" w:cs="Arial"/>
                <w:bCs/>
                <w:i/>
                <w:iCs/>
                <w:color w:val="000000"/>
                <w:sz w:val="19"/>
                <w:szCs w:val="19"/>
              </w:rPr>
              <w:t>A CORRESPONDIENTE. EL PRESENTE ES UN INSTRUMENTO DE PLANEACION.</w:t>
            </w:r>
          </w:p>
        </w:tc>
      </w:tr>
    </w:tbl>
    <w:p w14:paraId="74123706" w14:textId="77777777" w:rsidR="00E72C21" w:rsidRPr="00DB4C0B" w:rsidRDefault="00E72C21" w:rsidP="00E72C21">
      <w:pPr>
        <w:jc w:val="both"/>
        <w:rPr>
          <w:rFonts w:ascii="Century Gothic" w:hAnsi="Century Gothic"/>
          <w:sz w:val="20"/>
          <w:szCs w:val="20"/>
        </w:rPr>
      </w:pPr>
    </w:p>
    <w:p w14:paraId="79D5DE4F" w14:textId="77777777" w:rsidR="00E72C21" w:rsidRPr="00DB4C0B" w:rsidRDefault="00E72C21" w:rsidP="00E72C21">
      <w:pPr>
        <w:jc w:val="both"/>
        <w:rPr>
          <w:rFonts w:ascii="Century Gothic" w:hAnsi="Century Gothic"/>
          <w:sz w:val="20"/>
          <w:szCs w:val="20"/>
        </w:rPr>
      </w:pPr>
      <w:r w:rsidRPr="00DB4C0B">
        <w:rPr>
          <w:rFonts w:ascii="Century Gothic" w:hAnsi="Century Gothic"/>
          <w:sz w:val="20"/>
          <w:szCs w:val="20"/>
        </w:rPr>
        <w:t>Todas ellas estarán sujetas a las disposiciones previstas en la Ley de Disciplina Financiera de las Entidades Federativas y los Municipios.</w:t>
      </w:r>
    </w:p>
    <w:p w14:paraId="1CBE63BA" w14:textId="77777777" w:rsidR="00E72C21" w:rsidRPr="00DB4C0B" w:rsidRDefault="00E72C21" w:rsidP="00E72C21">
      <w:pPr>
        <w:jc w:val="both"/>
        <w:rPr>
          <w:rFonts w:ascii="Century Gothic" w:hAnsi="Century Gothic"/>
          <w:sz w:val="20"/>
          <w:szCs w:val="20"/>
        </w:rPr>
      </w:pPr>
    </w:p>
    <w:p w14:paraId="4F04A71E" w14:textId="77777777" w:rsidR="00E72C21" w:rsidRPr="00DB4C0B" w:rsidRDefault="00E72C21" w:rsidP="00E72C21">
      <w:pPr>
        <w:jc w:val="both"/>
        <w:rPr>
          <w:rFonts w:ascii="Century Gothic" w:hAnsi="Century Gothic"/>
          <w:sz w:val="20"/>
          <w:szCs w:val="20"/>
        </w:rPr>
      </w:pPr>
      <w:r w:rsidRPr="00DB4C0B">
        <w:rPr>
          <w:rFonts w:ascii="Century Gothic" w:hAnsi="Century Gothic"/>
          <w:sz w:val="20"/>
          <w:szCs w:val="20"/>
        </w:rPr>
        <w:t>SEGUNDO.- Se faculta al Presidente Municipal, Secretari</w:t>
      </w:r>
      <w:r>
        <w:rPr>
          <w:rFonts w:ascii="Century Gothic" w:hAnsi="Century Gothic"/>
          <w:sz w:val="20"/>
          <w:szCs w:val="20"/>
        </w:rPr>
        <w:t>a</w:t>
      </w:r>
      <w:r w:rsidRPr="00DB4C0B">
        <w:rPr>
          <w:rFonts w:ascii="Century Gothic" w:hAnsi="Century Gothic"/>
          <w:sz w:val="20"/>
          <w:szCs w:val="20"/>
        </w:rPr>
        <w:t xml:space="preserve"> General, Síndico y Tesorero a suscribir los instrumentos jurídicos necesarios con el Gobierno del Estado, Gobierno Federal y demás instancias pertinentes, para el cumplimiento del presente acuerdo.</w:t>
      </w:r>
    </w:p>
    <w:p w14:paraId="008C0DDB" w14:textId="77777777" w:rsidR="00E72C21" w:rsidRPr="00DB4C0B" w:rsidRDefault="00E72C21" w:rsidP="00E72C21">
      <w:pPr>
        <w:jc w:val="both"/>
        <w:rPr>
          <w:rFonts w:ascii="Century Gothic" w:hAnsi="Century Gothic"/>
          <w:sz w:val="20"/>
          <w:szCs w:val="20"/>
        </w:rPr>
      </w:pPr>
    </w:p>
    <w:p w14:paraId="17FC49E0" w14:textId="77777777" w:rsidR="00E72C21" w:rsidRPr="00133406" w:rsidRDefault="00E72C21" w:rsidP="00E72C21">
      <w:pPr>
        <w:jc w:val="both"/>
        <w:rPr>
          <w:rFonts w:ascii="Century Gothic" w:hAnsi="Century Gothic" w:cs="Arial"/>
          <w:sz w:val="20"/>
          <w:szCs w:val="20"/>
        </w:rPr>
      </w:pPr>
      <w:r w:rsidRPr="00133406">
        <w:rPr>
          <w:rFonts w:ascii="Century Gothic" w:hAnsi="Century Gothic" w:cs="Arial"/>
          <w:sz w:val="20"/>
          <w:szCs w:val="20"/>
        </w:rPr>
        <w:t>Continuando con el uso de la voz, el Presidente Municipal, Sergio Armando Chávez Dávalos, señala que, se abre la discusión, en lo general y en lo particular, en relación con el presente dictamen, consultando a las Regidoras y Regidores, si alguien desea hacer uso de la voz, solicitando a la Secretaría General lleve a cabo el registro de oradores.</w:t>
      </w:r>
    </w:p>
    <w:p w14:paraId="44AADC82" w14:textId="77777777" w:rsidR="00E72C21" w:rsidRPr="00133406" w:rsidRDefault="00E72C21" w:rsidP="00E72C21">
      <w:pPr>
        <w:jc w:val="both"/>
        <w:rPr>
          <w:rFonts w:ascii="Century Gothic" w:hAnsi="Century Gothic" w:cs="Arial"/>
          <w:sz w:val="20"/>
          <w:szCs w:val="20"/>
        </w:rPr>
      </w:pPr>
    </w:p>
    <w:p w14:paraId="69DA4D2A" w14:textId="77777777" w:rsidR="00E72C21" w:rsidRPr="00133406" w:rsidRDefault="00E72C21" w:rsidP="00E72C21">
      <w:pPr>
        <w:jc w:val="both"/>
        <w:rPr>
          <w:rFonts w:ascii="Century Gothic" w:hAnsi="Century Gothic" w:cs="Arial"/>
          <w:sz w:val="20"/>
          <w:szCs w:val="20"/>
        </w:rPr>
      </w:pPr>
      <w:r w:rsidRPr="00133406">
        <w:rPr>
          <w:rFonts w:ascii="Century Gothic" w:hAnsi="Century Gothic" w:cs="Arial"/>
          <w:sz w:val="20"/>
          <w:szCs w:val="20"/>
        </w:rPr>
        <w:t>En uso de la voz informativa, el Abogado Roberto Paoli Madrigal Chávez, Director de Iniciativas y Dictámenes, en funciones de la Secretaria General del Ayuntamiento, manifiesta que, como lo indica señor Presidente, le informo que no se cuenta con registro de oradores a este respecto.</w:t>
      </w:r>
    </w:p>
    <w:p w14:paraId="76CF35FF" w14:textId="77777777" w:rsidR="00E72C21" w:rsidRPr="00133406" w:rsidRDefault="00E72C21" w:rsidP="00E72C21">
      <w:pPr>
        <w:jc w:val="both"/>
        <w:rPr>
          <w:rFonts w:ascii="Century Gothic" w:hAnsi="Century Gothic" w:cs="Arial"/>
          <w:sz w:val="20"/>
          <w:szCs w:val="20"/>
        </w:rPr>
      </w:pPr>
    </w:p>
    <w:p w14:paraId="06576D81" w14:textId="77777777" w:rsidR="00E72C21" w:rsidRPr="00133406" w:rsidRDefault="00E72C21" w:rsidP="00E72C21">
      <w:pPr>
        <w:jc w:val="both"/>
        <w:rPr>
          <w:rFonts w:ascii="Century Gothic" w:hAnsi="Century Gothic" w:cs="Arial"/>
          <w:sz w:val="20"/>
          <w:szCs w:val="20"/>
        </w:rPr>
      </w:pPr>
      <w:r w:rsidRPr="00133406">
        <w:rPr>
          <w:rFonts w:ascii="Century Gothic" w:hAnsi="Century Gothic" w:cs="Arial"/>
          <w:sz w:val="20"/>
          <w:szCs w:val="20"/>
        </w:rPr>
        <w:t>En uso de la voz el Presidente Municipal, Sergio Armando Chávez Dávalos, expresa que, gracias; en ese contexto, se declara agotada la discusión, y les consulto si es de aprobarse, en lo general y en lo particular, el dictamen de referencia, en el sentido en el que se presenta, quienes estén por la afirmativa, favor de manifestarlo levantando su mano, instruyendo a la Secretaria General para que contabilice los votos y nos informe del resultado.</w:t>
      </w:r>
    </w:p>
    <w:p w14:paraId="631096B3" w14:textId="77777777" w:rsidR="00E72C21" w:rsidRPr="00133406" w:rsidRDefault="00E72C21" w:rsidP="00E72C21">
      <w:pPr>
        <w:jc w:val="both"/>
        <w:rPr>
          <w:rFonts w:ascii="Century Gothic" w:hAnsi="Century Gothic" w:cs="Arial"/>
          <w:sz w:val="20"/>
          <w:szCs w:val="20"/>
        </w:rPr>
      </w:pPr>
    </w:p>
    <w:p w14:paraId="0E722AA5" w14:textId="77777777" w:rsidR="00E72C21" w:rsidRPr="00133406" w:rsidRDefault="00E72C21" w:rsidP="00E72C21">
      <w:pPr>
        <w:jc w:val="both"/>
        <w:rPr>
          <w:rFonts w:ascii="Century Gothic" w:hAnsi="Century Gothic" w:cs="Arial"/>
          <w:sz w:val="20"/>
          <w:szCs w:val="20"/>
        </w:rPr>
      </w:pPr>
      <w:r w:rsidRPr="00133406">
        <w:rPr>
          <w:rFonts w:ascii="Century Gothic" w:hAnsi="Century Gothic" w:cs="Arial"/>
          <w:sz w:val="20"/>
          <w:szCs w:val="20"/>
        </w:rPr>
        <w:lastRenderedPageBreak/>
        <w:t>En uso de la voz informativa, el Abogado Roberto Paoli Madrigal Chávez, Director de Iniciativas y Dictámenes, en funciones de la Secretaria General del Ayuntamiento, menciona que, como lo indica señor Presidente, le informo que se registraron un total de 19 votos a favor.</w:t>
      </w:r>
    </w:p>
    <w:p w14:paraId="4CDAB8B5" w14:textId="77777777" w:rsidR="00E72C21" w:rsidRPr="00133406" w:rsidRDefault="00E72C21" w:rsidP="00E72C21">
      <w:pPr>
        <w:jc w:val="both"/>
        <w:rPr>
          <w:rFonts w:ascii="Century Gothic" w:hAnsi="Century Gothic" w:cs="Arial"/>
          <w:sz w:val="20"/>
          <w:szCs w:val="20"/>
        </w:rPr>
      </w:pPr>
    </w:p>
    <w:p w14:paraId="7DECDD81" w14:textId="77777777" w:rsidR="00E72C21" w:rsidRPr="001B0207" w:rsidRDefault="00E72C21" w:rsidP="00E72C21">
      <w:pPr>
        <w:jc w:val="both"/>
        <w:rPr>
          <w:rFonts w:ascii="Century Gothic" w:hAnsi="Century Gothic" w:cs="Arial"/>
          <w:sz w:val="20"/>
          <w:szCs w:val="20"/>
        </w:rPr>
      </w:pPr>
      <w:r w:rsidRPr="00133406">
        <w:rPr>
          <w:rFonts w:ascii="Century Gothic" w:hAnsi="Century Gothic" w:cs="Arial"/>
          <w:sz w:val="20"/>
          <w:szCs w:val="20"/>
        </w:rPr>
        <w:t>En uso de la voz el Presidente Municipal, Sergio Armando Chávez Dávalos, señala que, gracias; queda aprobado.</w:t>
      </w:r>
    </w:p>
    <w:p w14:paraId="1F246D48" w14:textId="77777777" w:rsidR="00E72C21" w:rsidRDefault="00E72C21" w:rsidP="00E72C21"/>
    <w:p w14:paraId="5381217F" w14:textId="77777777" w:rsidR="00E72C21" w:rsidRDefault="00E72C21" w:rsidP="00E72C21"/>
    <w:p w14:paraId="1BEEE3C6" w14:textId="77777777" w:rsidR="00E72C21" w:rsidRPr="00EA5C82" w:rsidRDefault="00E72C21" w:rsidP="00E72C21">
      <w:pPr>
        <w:jc w:val="both"/>
        <w:rPr>
          <w:rFonts w:ascii="Arial" w:hAnsi="Arial" w:cs="Arial"/>
          <w:b/>
          <w:bCs/>
          <w:sz w:val="22"/>
          <w:szCs w:val="22"/>
        </w:rPr>
      </w:pPr>
    </w:p>
    <w:p w14:paraId="36A4E637" w14:textId="77777777" w:rsidR="00E72C21" w:rsidRPr="009423B4" w:rsidRDefault="00E72C21" w:rsidP="00E72C21">
      <w:pPr>
        <w:jc w:val="center"/>
        <w:rPr>
          <w:rFonts w:ascii="Arial" w:hAnsi="Arial" w:cs="Arial"/>
        </w:rPr>
      </w:pPr>
      <w:r w:rsidRPr="009423B4">
        <w:rPr>
          <w:rFonts w:ascii="Arial" w:hAnsi="Arial" w:cs="Arial"/>
        </w:rPr>
        <w:t>En mérito de lo anterior, mando se imprima, publique, divulgue y se le dé el debido cumplimiento.</w:t>
      </w:r>
    </w:p>
    <w:p w14:paraId="6F20AA2A" w14:textId="77777777" w:rsidR="00E72C21" w:rsidRPr="009423B4" w:rsidRDefault="00E72C21" w:rsidP="00E72C21">
      <w:pPr>
        <w:jc w:val="both"/>
        <w:rPr>
          <w:rFonts w:ascii="Arial" w:hAnsi="Arial" w:cs="Arial"/>
        </w:rPr>
      </w:pPr>
    </w:p>
    <w:p w14:paraId="532CF376" w14:textId="2D3A762D" w:rsidR="00E72C21" w:rsidRPr="009423B4" w:rsidRDefault="00E72C21" w:rsidP="00E72C21">
      <w:pPr>
        <w:jc w:val="center"/>
        <w:rPr>
          <w:rFonts w:ascii="Arial" w:hAnsi="Arial" w:cs="Arial"/>
        </w:rPr>
      </w:pPr>
      <w:r w:rsidRPr="009423B4">
        <w:rPr>
          <w:rFonts w:ascii="Arial" w:hAnsi="Arial" w:cs="Arial"/>
        </w:rPr>
        <w:tab/>
        <w:t>Emitido el</w:t>
      </w:r>
      <w:r>
        <w:rPr>
          <w:rFonts w:ascii="Arial" w:hAnsi="Arial" w:cs="Arial"/>
        </w:rPr>
        <w:t xml:space="preserve"> 26</w:t>
      </w:r>
      <w:r>
        <w:rPr>
          <w:rFonts w:ascii="Arial" w:hAnsi="Arial" w:cs="Arial"/>
        </w:rPr>
        <w:t xml:space="preserve"> de marzo </w:t>
      </w:r>
      <w:r w:rsidRPr="009423B4">
        <w:rPr>
          <w:rFonts w:ascii="Arial" w:hAnsi="Arial" w:cs="Arial"/>
        </w:rPr>
        <w:t>de 202</w:t>
      </w:r>
      <w:r>
        <w:rPr>
          <w:rFonts w:ascii="Arial" w:hAnsi="Arial" w:cs="Arial"/>
        </w:rPr>
        <w:t>6</w:t>
      </w:r>
      <w:r w:rsidRPr="009423B4">
        <w:rPr>
          <w:rFonts w:ascii="Arial" w:hAnsi="Arial" w:cs="Arial"/>
        </w:rPr>
        <w:t xml:space="preserve"> en la ciudad de Tonalá, Jalisco, México.</w:t>
      </w:r>
    </w:p>
    <w:p w14:paraId="7E84C669" w14:textId="77777777" w:rsidR="00E72C21" w:rsidRPr="009423B4" w:rsidRDefault="00E72C21" w:rsidP="00E72C21">
      <w:pPr>
        <w:jc w:val="center"/>
        <w:rPr>
          <w:rFonts w:ascii="Arial" w:hAnsi="Arial" w:cs="Arial"/>
        </w:rPr>
      </w:pPr>
    </w:p>
    <w:p w14:paraId="46BCB476" w14:textId="77777777" w:rsidR="00E72C21" w:rsidRPr="009423B4" w:rsidRDefault="00E72C21" w:rsidP="00E72C21">
      <w:pPr>
        <w:jc w:val="center"/>
        <w:rPr>
          <w:rFonts w:ascii="Arial" w:hAnsi="Arial" w:cs="Arial"/>
          <w:b/>
        </w:rPr>
      </w:pPr>
      <w:r w:rsidRPr="009423B4">
        <w:rPr>
          <w:rFonts w:ascii="Arial" w:hAnsi="Arial" w:cs="Arial"/>
          <w:b/>
        </w:rPr>
        <w:t>Rúbrica</w:t>
      </w:r>
    </w:p>
    <w:p w14:paraId="5063F8B2" w14:textId="77777777" w:rsidR="00E72C21" w:rsidRPr="009423B4" w:rsidRDefault="00E72C21" w:rsidP="00E72C21">
      <w:pPr>
        <w:jc w:val="center"/>
        <w:rPr>
          <w:rFonts w:ascii="Arial" w:hAnsi="Arial" w:cs="Arial"/>
          <w:b/>
        </w:rPr>
      </w:pPr>
      <w:r w:rsidRPr="009423B4">
        <w:rPr>
          <w:rFonts w:ascii="Arial" w:hAnsi="Arial" w:cs="Arial"/>
          <w:b/>
        </w:rPr>
        <w:t xml:space="preserve">MTRA. CELIA ISABEL GAUNA RUÍZ DE LEÓN </w:t>
      </w:r>
    </w:p>
    <w:p w14:paraId="264898BC" w14:textId="77777777" w:rsidR="00E72C21" w:rsidRPr="009423B4" w:rsidRDefault="00E72C21" w:rsidP="00E72C21">
      <w:pPr>
        <w:jc w:val="center"/>
        <w:rPr>
          <w:rFonts w:ascii="Arial" w:hAnsi="Arial" w:cs="Arial"/>
          <w:b/>
        </w:rPr>
      </w:pPr>
      <w:r w:rsidRPr="009423B4">
        <w:rPr>
          <w:rFonts w:ascii="Arial" w:hAnsi="Arial" w:cs="Arial"/>
          <w:b/>
        </w:rPr>
        <w:t xml:space="preserve">SECRETARIA GENERAL </w:t>
      </w:r>
    </w:p>
    <w:p w14:paraId="4A18367E" w14:textId="77777777" w:rsidR="00E72C21" w:rsidRDefault="00E72C21" w:rsidP="00E72C21"/>
    <w:p w14:paraId="1DEF6395" w14:textId="77777777" w:rsidR="00E72C21" w:rsidRDefault="00E72C21" w:rsidP="00E72C21"/>
    <w:p w14:paraId="03CBFC83" w14:textId="77777777" w:rsidR="00E72C21" w:rsidRDefault="00E72C21" w:rsidP="00E72C21"/>
    <w:p w14:paraId="43A2D59A" w14:textId="77777777" w:rsidR="00E72C21" w:rsidRDefault="00E72C21" w:rsidP="00E72C21">
      <w:r>
        <w:br w:type="page"/>
      </w:r>
    </w:p>
    <w:p w14:paraId="58E94EA2" w14:textId="77777777" w:rsidR="00E72C21" w:rsidRDefault="00E72C21" w:rsidP="00E72C21"/>
    <w:p w14:paraId="097A86F4" w14:textId="77777777" w:rsidR="00E72C21" w:rsidRDefault="00E72C21" w:rsidP="00E72C21"/>
    <w:p w14:paraId="3C97F9E9" w14:textId="77777777" w:rsidR="00E72C21" w:rsidRDefault="00E72C21" w:rsidP="00E72C21"/>
    <w:p w14:paraId="2D5B2D1F" w14:textId="77777777" w:rsidR="00E72C21" w:rsidRDefault="00E72C21" w:rsidP="00E72C21">
      <w:r>
        <w:rPr>
          <w:noProof/>
        </w:rPr>
        <w:drawing>
          <wp:anchor distT="0" distB="0" distL="114300" distR="114300" simplePos="0" relativeHeight="251659264" behindDoc="0" locked="0" layoutInCell="1" allowOverlap="1" wp14:anchorId="3D661D3D" wp14:editId="117C8BDF">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p w14:paraId="1D05EF51" w14:textId="77777777" w:rsidR="005D5F49" w:rsidRDefault="005D5F49"/>
    <w:sectPr w:rsidR="005D5F49" w:rsidSect="00E72C21">
      <w:headerReference w:type="default" r:id="rId9"/>
      <w:footerReference w:type="default" r:id="rId10"/>
      <w:pgSz w:w="12240" w:h="15840"/>
      <w:pgMar w:top="239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altName w:val="Georgia"/>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4472C4" w:themeFill="accent1"/>
      <w:tblCellMar>
        <w:left w:w="115" w:type="dxa"/>
        <w:right w:w="115" w:type="dxa"/>
      </w:tblCellMar>
      <w:tblLook w:val="04A0" w:firstRow="1" w:lastRow="0" w:firstColumn="1" w:lastColumn="0" w:noHBand="0" w:noVBand="1"/>
    </w:tblPr>
    <w:tblGrid>
      <w:gridCol w:w="4419"/>
      <w:gridCol w:w="4419"/>
    </w:tblGrid>
    <w:tr w:rsidR="00E72C21" w14:paraId="530CD725" w14:textId="77777777">
      <w:tc>
        <w:tcPr>
          <w:tcW w:w="2500" w:type="pct"/>
          <w:shd w:val="clear" w:color="auto" w:fill="4472C4" w:themeFill="accent1"/>
          <w:vAlign w:val="center"/>
        </w:tcPr>
        <w:p w14:paraId="014CC0B5" w14:textId="77777777" w:rsidR="00E72C21" w:rsidRDefault="00E72C21">
          <w:pPr>
            <w:pStyle w:val="Piedepgina"/>
            <w:spacing w:before="80" w:after="80"/>
            <w:jc w:val="both"/>
            <w:rPr>
              <w:caps/>
              <w:color w:val="FFFFFF" w:themeColor="background1"/>
              <w:sz w:val="18"/>
              <w:szCs w:val="18"/>
            </w:rPr>
          </w:pPr>
          <w:sdt>
            <w:sdtPr>
              <w:rPr>
                <w:caps/>
                <w:color w:val="FFFFFF" w:themeColor="background1"/>
                <w:sz w:val="18"/>
                <w:szCs w:val="18"/>
              </w:rPr>
              <w:alias w:val="Título"/>
              <w:tag w:val=""/>
              <w:id w:val="-578829839"/>
              <w:placeholder/>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18"/>
                  <w:szCs w:val="18"/>
                </w:rPr>
                <w:t>[Título del documento]</w:t>
              </w:r>
            </w:sdtContent>
          </w:sdt>
        </w:p>
      </w:tc>
      <w:tc>
        <w:tcPr>
          <w:tcW w:w="2500" w:type="pct"/>
          <w:shd w:val="clear" w:color="auto" w:fill="4472C4" w:themeFill="accent1"/>
          <w:vAlign w:val="center"/>
        </w:tcPr>
        <w:sdt>
          <w:sdtPr>
            <w:rPr>
              <w:caps/>
              <w:color w:val="FFFFFF" w:themeColor="background1"/>
              <w:sz w:val="18"/>
              <w:szCs w:val="18"/>
            </w:rPr>
            <w:alias w:val="Autor"/>
            <w:tag w:val=""/>
            <w:id w:val="-1822267932"/>
            <w:placeholder/>
            <w:dataBinding w:prefixMappings="xmlns:ns0='http://purl.org/dc/elements/1.1/' xmlns:ns1='http://schemas.openxmlformats.org/package/2006/metadata/core-properties' " w:xpath="/ns1:coreProperties[1]/ns0:creator[1]" w:storeItemID="{6C3C8BC8-F283-45AE-878A-BAB7291924A1}"/>
            <w:text/>
          </w:sdtPr>
          <w:sdtContent>
            <w:p w14:paraId="7889A1B0" w14:textId="4FE1607C" w:rsidR="00E72C21" w:rsidRDefault="00E72C21">
              <w:pPr>
                <w:pStyle w:val="Piedepgina"/>
                <w:spacing w:before="80" w:after="80"/>
                <w:jc w:val="right"/>
                <w:rPr>
                  <w:caps/>
                  <w:color w:val="FFFFFF" w:themeColor="background1"/>
                  <w:sz w:val="18"/>
                  <w:szCs w:val="18"/>
                </w:rPr>
              </w:pPr>
              <w:r>
                <w:rPr>
                  <w:caps/>
                  <w:color w:val="FFFFFF" w:themeColor="background1"/>
                  <w:sz w:val="18"/>
                  <w:szCs w:val="18"/>
                </w:rPr>
                <w:t>SG4</w:t>
              </w:r>
            </w:p>
          </w:sdtContent>
        </w:sdt>
      </w:tc>
    </w:tr>
  </w:tbl>
  <w:p w14:paraId="2EA695B6" w14:textId="77777777" w:rsidR="00E72C21" w:rsidRDefault="00E72C21">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B443" w14:textId="77777777" w:rsidR="00E72C21" w:rsidRDefault="00E72C21">
    <w:pPr>
      <w:pStyle w:val="Encabezado"/>
    </w:pPr>
    <w:r>
      <w:rPr>
        <w:noProof/>
      </w:rPr>
      <w:drawing>
        <wp:anchor distT="0" distB="0" distL="114300" distR="114300" simplePos="0" relativeHeight="251659264" behindDoc="0" locked="0" layoutInCell="1" allowOverlap="1" wp14:anchorId="12743BEF" wp14:editId="102BF46D">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4096"/>
    <w:multiLevelType w:val="hybridMultilevel"/>
    <w:tmpl w:val="D9727D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5071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C21"/>
    <w:rsid w:val="004247EC"/>
    <w:rsid w:val="005D5F49"/>
    <w:rsid w:val="00617D7C"/>
    <w:rsid w:val="008122EC"/>
    <w:rsid w:val="00A228AD"/>
    <w:rsid w:val="00E72C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3F27B"/>
  <w15:chartTrackingRefBased/>
  <w15:docId w15:val="{9388F9F7-F19D-4C67-847C-BFBAE51A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C21"/>
    <w:pPr>
      <w:spacing w:after="0" w:line="240" w:lineRule="auto"/>
    </w:pPr>
    <w:rPr>
      <w:lang w:val="es-ES"/>
    </w:rPr>
  </w:style>
  <w:style w:type="paragraph" w:styleId="Ttulo1">
    <w:name w:val="heading 1"/>
    <w:basedOn w:val="Normal"/>
    <w:next w:val="Normal"/>
    <w:link w:val="Ttulo1Car"/>
    <w:uiPriority w:val="9"/>
    <w:qFormat/>
    <w:rsid w:val="00E72C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72C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72C2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72C2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72C2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72C2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72C2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72C2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72C2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2C2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72C2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72C2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72C21"/>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72C21"/>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72C2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72C2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72C2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72C21"/>
    <w:rPr>
      <w:rFonts w:eastAsiaTheme="majorEastAsia" w:cstheme="majorBidi"/>
      <w:color w:val="272727" w:themeColor="text1" w:themeTint="D8"/>
    </w:rPr>
  </w:style>
  <w:style w:type="paragraph" w:styleId="Ttulo">
    <w:name w:val="Title"/>
    <w:basedOn w:val="Normal"/>
    <w:next w:val="Normal"/>
    <w:link w:val="TtuloCar"/>
    <w:uiPriority w:val="10"/>
    <w:qFormat/>
    <w:rsid w:val="00E72C2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72C2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72C2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72C2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72C21"/>
    <w:pPr>
      <w:spacing w:before="160"/>
      <w:jc w:val="center"/>
    </w:pPr>
    <w:rPr>
      <w:i/>
      <w:iCs/>
      <w:color w:val="404040" w:themeColor="text1" w:themeTint="BF"/>
    </w:rPr>
  </w:style>
  <w:style w:type="character" w:customStyle="1" w:styleId="CitaCar">
    <w:name w:val="Cita Car"/>
    <w:basedOn w:val="Fuentedeprrafopredeter"/>
    <w:link w:val="Cita"/>
    <w:uiPriority w:val="29"/>
    <w:rsid w:val="00E72C21"/>
    <w:rPr>
      <w:i/>
      <w:iCs/>
      <w:color w:val="404040" w:themeColor="text1" w:themeTint="BF"/>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E72C21"/>
    <w:pPr>
      <w:ind w:left="720"/>
      <w:contextualSpacing/>
    </w:pPr>
  </w:style>
  <w:style w:type="character" w:styleId="nfasisintenso">
    <w:name w:val="Intense Emphasis"/>
    <w:basedOn w:val="Fuentedeprrafopredeter"/>
    <w:uiPriority w:val="21"/>
    <w:qFormat/>
    <w:rsid w:val="00E72C21"/>
    <w:rPr>
      <w:i/>
      <w:iCs/>
      <w:color w:val="2F5496" w:themeColor="accent1" w:themeShade="BF"/>
    </w:rPr>
  </w:style>
  <w:style w:type="paragraph" w:styleId="Citadestacada">
    <w:name w:val="Intense Quote"/>
    <w:basedOn w:val="Normal"/>
    <w:next w:val="Normal"/>
    <w:link w:val="CitadestacadaCar"/>
    <w:uiPriority w:val="30"/>
    <w:qFormat/>
    <w:rsid w:val="00E72C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72C21"/>
    <w:rPr>
      <w:i/>
      <w:iCs/>
      <w:color w:val="2F5496" w:themeColor="accent1" w:themeShade="BF"/>
    </w:rPr>
  </w:style>
  <w:style w:type="character" w:styleId="Referenciaintensa">
    <w:name w:val="Intense Reference"/>
    <w:basedOn w:val="Fuentedeprrafopredeter"/>
    <w:uiPriority w:val="32"/>
    <w:qFormat/>
    <w:rsid w:val="00E72C21"/>
    <w:rPr>
      <w:b/>
      <w:bCs/>
      <w:smallCaps/>
      <w:color w:val="2F5496" w:themeColor="accent1" w:themeShade="BF"/>
      <w:spacing w:val="5"/>
    </w:rPr>
  </w:style>
  <w:style w:type="paragraph" w:styleId="Encabezado">
    <w:name w:val="header"/>
    <w:basedOn w:val="Normal"/>
    <w:link w:val="EncabezadoCar"/>
    <w:uiPriority w:val="99"/>
    <w:unhideWhenUsed/>
    <w:rsid w:val="00E72C21"/>
    <w:pPr>
      <w:tabs>
        <w:tab w:val="center" w:pos="4419"/>
        <w:tab w:val="right" w:pos="8838"/>
      </w:tabs>
    </w:pPr>
  </w:style>
  <w:style w:type="character" w:customStyle="1" w:styleId="EncabezadoCar">
    <w:name w:val="Encabezado Car"/>
    <w:basedOn w:val="Fuentedeprrafopredeter"/>
    <w:link w:val="Encabezado"/>
    <w:uiPriority w:val="99"/>
    <w:rsid w:val="00E72C21"/>
    <w:rPr>
      <w:lang w:val="es-ES"/>
    </w:rPr>
  </w:style>
  <w:style w:type="paragraph" w:styleId="Piedepgina">
    <w:name w:val="footer"/>
    <w:basedOn w:val="Normal"/>
    <w:link w:val="PiedepginaCar"/>
    <w:uiPriority w:val="99"/>
    <w:unhideWhenUsed/>
    <w:rsid w:val="00E72C21"/>
    <w:pPr>
      <w:tabs>
        <w:tab w:val="center" w:pos="4419"/>
        <w:tab w:val="right" w:pos="8838"/>
      </w:tabs>
    </w:pPr>
  </w:style>
  <w:style w:type="character" w:customStyle="1" w:styleId="PiedepginaCar">
    <w:name w:val="Pie de página Car"/>
    <w:basedOn w:val="Fuentedeprrafopredeter"/>
    <w:link w:val="Piedepgina"/>
    <w:uiPriority w:val="99"/>
    <w:rsid w:val="00E72C21"/>
    <w:rPr>
      <w:lang w:val="es-ES"/>
    </w:rPr>
  </w:style>
  <w:style w:type="paragraph" w:customStyle="1" w:styleId="western">
    <w:name w:val="western"/>
    <w:basedOn w:val="Normal"/>
    <w:uiPriority w:val="99"/>
    <w:rsid w:val="00E72C21"/>
    <w:pPr>
      <w:spacing w:before="100" w:beforeAutospacing="1"/>
    </w:pPr>
    <w:rPr>
      <w:rFonts w:ascii="Souvenir Lt BT" w:eastAsia="Times New Roman" w:hAnsi="Souvenir Lt BT" w:cs="Times New Roman"/>
      <w:kern w:val="0"/>
      <w:sz w:val="28"/>
      <w:szCs w:val="28"/>
      <w:lang w:val="es-MX" w:eastAsia="es-MX"/>
      <w14:ligatures w14:val="none"/>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E72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2379</Words>
  <Characters>13086</Characters>
  <Application>Microsoft Office Word</Application>
  <DocSecurity>0</DocSecurity>
  <Lines>109</Lines>
  <Paragraphs>30</Paragraphs>
  <ScaleCrop>false</ScaleCrop>
  <Company/>
  <LinksUpToDate>false</LinksUpToDate>
  <CharactersWithSpaces>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SG4</dc:creator>
  <cp:keywords/>
  <dc:description/>
  <cp:lastModifiedBy>SG4</cp:lastModifiedBy>
  <cp:revision>2</cp:revision>
  <dcterms:created xsi:type="dcterms:W3CDTF">2026-05-06T18:48:00Z</dcterms:created>
  <dcterms:modified xsi:type="dcterms:W3CDTF">2026-05-06T18:53:00Z</dcterms:modified>
</cp:coreProperties>
</file>