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2A4" w:rsidRPr="001D2E3B" w:rsidRDefault="001D2E3B" w:rsidP="001D2E3B">
      <w:pPr>
        <w:spacing w:after="0"/>
        <w:jc w:val="center"/>
        <w:rPr>
          <w:rFonts w:ascii="Arial" w:hAnsi="Arial" w:cs="Arial"/>
          <w:b/>
        </w:rPr>
      </w:pPr>
      <w:r w:rsidRPr="001D2E3B">
        <w:rPr>
          <w:rFonts w:ascii="Arial" w:hAnsi="Arial" w:cs="Arial"/>
          <w:b/>
        </w:rPr>
        <w:t xml:space="preserve">AVISO DE PRIVACIDAD </w:t>
      </w:r>
    </w:p>
    <w:p w:rsidR="001D2E3B" w:rsidRDefault="001D2E3B" w:rsidP="001D2E3B">
      <w:pPr>
        <w:spacing w:after="0"/>
        <w:jc w:val="center"/>
        <w:rPr>
          <w:rFonts w:ascii="Arial" w:hAnsi="Arial" w:cs="Arial"/>
          <w:b/>
        </w:rPr>
      </w:pPr>
      <w:r w:rsidRPr="001D2E3B">
        <w:rPr>
          <w:rFonts w:ascii="Arial" w:hAnsi="Arial" w:cs="Arial"/>
          <w:b/>
        </w:rPr>
        <w:t>JEFATURA DE INSPECCIÓN A URBANIZACIÓN Y PATRIMONIO</w:t>
      </w:r>
    </w:p>
    <w:p w:rsidR="001D2E3B" w:rsidRPr="001D2E3B" w:rsidRDefault="00274500" w:rsidP="001D2E3B">
      <w:pPr>
        <w:spacing w:after="0"/>
        <w:jc w:val="center"/>
        <w:rPr>
          <w:rFonts w:ascii="Arial" w:hAnsi="Arial" w:cs="Arial"/>
        </w:rPr>
      </w:pPr>
      <w:r>
        <w:rPr>
          <w:rFonts w:ascii="Arial" w:hAnsi="Arial" w:cs="Arial"/>
        </w:rPr>
        <w:t>(SIMPLIFICADO</w:t>
      </w:r>
      <w:bookmarkStart w:id="0" w:name="_GoBack"/>
      <w:bookmarkEnd w:id="0"/>
      <w:r w:rsidR="001D2E3B" w:rsidRPr="001D2E3B">
        <w:rPr>
          <w:rFonts w:ascii="Arial" w:hAnsi="Arial" w:cs="Arial"/>
        </w:rPr>
        <w:t>)</w:t>
      </w:r>
    </w:p>
    <w:p w:rsidR="001D2E3B" w:rsidRDefault="001D2E3B" w:rsidP="001D2E3B">
      <w:pPr>
        <w:spacing w:after="0"/>
        <w:jc w:val="center"/>
        <w:rPr>
          <w:rFonts w:ascii="Arial" w:hAnsi="Arial" w:cs="Arial"/>
          <w:b/>
        </w:rPr>
      </w:pPr>
    </w:p>
    <w:p w:rsidR="001D2E3B" w:rsidRDefault="001D2E3B" w:rsidP="001D2E3B">
      <w:pPr>
        <w:spacing w:after="0"/>
        <w:jc w:val="center"/>
        <w:rPr>
          <w:rFonts w:ascii="Arial" w:hAnsi="Arial" w:cs="Arial"/>
          <w:b/>
        </w:rPr>
      </w:pPr>
    </w:p>
    <w:p w:rsidR="001D2E3B" w:rsidRDefault="001D2E3B" w:rsidP="001D2E3B">
      <w:pPr>
        <w:spacing w:after="0"/>
        <w:jc w:val="center"/>
        <w:rPr>
          <w:rFonts w:ascii="Arial" w:hAnsi="Arial" w:cs="Arial"/>
          <w:b/>
        </w:rPr>
      </w:pPr>
    </w:p>
    <w:p w:rsidR="001D2E3B" w:rsidRDefault="001D2E3B" w:rsidP="001D2E3B">
      <w:pPr>
        <w:spacing w:after="0"/>
        <w:jc w:val="center"/>
        <w:rPr>
          <w:rFonts w:ascii="Arial" w:hAnsi="Arial" w:cs="Arial"/>
          <w:b/>
        </w:rPr>
      </w:pPr>
    </w:p>
    <w:p w:rsidR="001D2E3B" w:rsidRDefault="001D2E3B" w:rsidP="001D2E3B">
      <w:pPr>
        <w:spacing w:after="0"/>
        <w:jc w:val="center"/>
        <w:rPr>
          <w:rFonts w:ascii="Arial" w:hAnsi="Arial" w:cs="Arial"/>
          <w:b/>
        </w:rPr>
      </w:pPr>
    </w:p>
    <w:p w:rsidR="001D2E3B" w:rsidRPr="001D2E3B" w:rsidRDefault="001D2E3B" w:rsidP="001D2E3B">
      <w:pPr>
        <w:spacing w:after="0"/>
        <w:jc w:val="center"/>
        <w:rPr>
          <w:rFonts w:ascii="Arial" w:hAnsi="Arial" w:cs="Arial"/>
          <w:b/>
        </w:rPr>
      </w:pPr>
    </w:p>
    <w:tbl>
      <w:tblPr>
        <w:tblStyle w:val="Tablaconcuadrcula"/>
        <w:tblW w:w="0" w:type="auto"/>
        <w:tblLook w:val="04A0" w:firstRow="1" w:lastRow="0" w:firstColumn="1" w:lastColumn="0" w:noHBand="0" w:noVBand="1"/>
      </w:tblPr>
      <w:tblGrid>
        <w:gridCol w:w="2830"/>
        <w:gridCol w:w="5998"/>
      </w:tblGrid>
      <w:tr w:rsidR="001D2E3B" w:rsidTr="001D2E3B">
        <w:tc>
          <w:tcPr>
            <w:tcW w:w="2830" w:type="dxa"/>
          </w:tcPr>
          <w:p w:rsidR="001D2E3B" w:rsidRPr="00BA7171" w:rsidRDefault="001D2E3B" w:rsidP="001D2E3B">
            <w:pPr>
              <w:jc w:val="center"/>
              <w:rPr>
                <w:b/>
              </w:rPr>
            </w:pPr>
            <w:r w:rsidRPr="00BA7171">
              <w:rPr>
                <w:b/>
              </w:rPr>
              <w:t>¿Quiénes Somos?</w:t>
            </w:r>
          </w:p>
        </w:tc>
        <w:tc>
          <w:tcPr>
            <w:tcW w:w="5998" w:type="dxa"/>
          </w:tcPr>
          <w:p w:rsidR="001D2E3B" w:rsidRDefault="005C7EFD" w:rsidP="005C7EFD">
            <w:pPr>
              <w:jc w:val="both"/>
            </w:pPr>
            <w:r>
              <w:t>Ayuntamiento de Tonalá Jalisco, por conducto de la Jefatura de Inspección a Urbanización y Patrimonio con domicilio en calle Morelos 155, colonia Tonalá Centro, Tonalá Jalisco, México, utiliza sus datos personales y al respecto le informa lo siguiente.</w:t>
            </w:r>
          </w:p>
        </w:tc>
      </w:tr>
      <w:tr w:rsidR="001D2E3B" w:rsidTr="001D2E3B">
        <w:tc>
          <w:tcPr>
            <w:tcW w:w="2830" w:type="dxa"/>
          </w:tcPr>
          <w:p w:rsidR="001D2E3B" w:rsidRPr="00BA7171" w:rsidRDefault="001D2E3B" w:rsidP="001D2E3B">
            <w:pPr>
              <w:jc w:val="center"/>
              <w:rPr>
                <w:b/>
              </w:rPr>
            </w:pPr>
            <w:r w:rsidRPr="00BA7171">
              <w:rPr>
                <w:b/>
              </w:rPr>
              <w:t>¿Para qué fines utilizaremos sus datos personales?</w:t>
            </w:r>
          </w:p>
        </w:tc>
        <w:tc>
          <w:tcPr>
            <w:tcW w:w="5998" w:type="dxa"/>
          </w:tcPr>
          <w:p w:rsidR="00691D2E" w:rsidRDefault="00691D2E" w:rsidP="00691D2E">
            <w:pPr>
              <w:jc w:val="both"/>
            </w:pPr>
            <w:r>
              <w:t xml:space="preserve">Los datos personales que recabamos de usted, los utilizaremos para las siguientes </w:t>
            </w:r>
          </w:p>
          <w:p w:rsidR="001D2E3B" w:rsidRDefault="00691D2E" w:rsidP="00691D2E">
            <w:pPr>
              <w:jc w:val="both"/>
            </w:pPr>
            <w:r>
              <w:t>Finalidades.</w:t>
            </w:r>
          </w:p>
          <w:p w:rsidR="0036287E" w:rsidRPr="0036287E" w:rsidRDefault="0036287E" w:rsidP="0036287E">
            <w:pPr>
              <w:numPr>
                <w:ilvl w:val="0"/>
                <w:numId w:val="2"/>
              </w:numPr>
              <w:contextualSpacing/>
              <w:rPr>
                <w:rFonts w:ascii="Arial" w:hAnsi="Arial" w:cs="Arial"/>
              </w:rPr>
            </w:pPr>
            <w:r w:rsidRPr="0036287E">
              <w:rPr>
                <w:rFonts w:ascii="Arial" w:hAnsi="Arial" w:cs="Arial"/>
              </w:rPr>
              <w:t>Recabación de datos personales para información estadística.</w:t>
            </w:r>
          </w:p>
          <w:p w:rsidR="0036287E" w:rsidRPr="0036287E" w:rsidRDefault="0036287E" w:rsidP="0036287E">
            <w:pPr>
              <w:numPr>
                <w:ilvl w:val="0"/>
                <w:numId w:val="2"/>
              </w:numPr>
              <w:contextualSpacing/>
              <w:rPr>
                <w:rFonts w:ascii="Arial" w:hAnsi="Arial" w:cs="Arial"/>
              </w:rPr>
            </w:pPr>
            <w:r w:rsidRPr="0036287E">
              <w:rPr>
                <w:rFonts w:ascii="Arial" w:hAnsi="Arial" w:cs="Arial"/>
              </w:rPr>
              <w:t xml:space="preserve">El trámite de respuesta a escritos y peticiones ciudadanas. </w:t>
            </w:r>
          </w:p>
          <w:p w:rsidR="0036287E" w:rsidRPr="0036287E" w:rsidRDefault="0036287E" w:rsidP="0036287E">
            <w:pPr>
              <w:numPr>
                <w:ilvl w:val="0"/>
                <w:numId w:val="2"/>
              </w:numPr>
              <w:contextualSpacing/>
              <w:rPr>
                <w:rFonts w:ascii="Arial" w:hAnsi="Arial" w:cs="Arial"/>
              </w:rPr>
            </w:pPr>
            <w:r w:rsidRPr="0036287E">
              <w:rPr>
                <w:rFonts w:ascii="Arial" w:hAnsi="Arial" w:cs="Arial"/>
              </w:rPr>
              <w:t>Seguimiento a un acta de inspección y orden de visita.</w:t>
            </w:r>
          </w:p>
          <w:p w:rsidR="0036287E" w:rsidRPr="0036287E" w:rsidRDefault="0036287E" w:rsidP="0036287E">
            <w:pPr>
              <w:numPr>
                <w:ilvl w:val="0"/>
                <w:numId w:val="2"/>
              </w:numPr>
              <w:contextualSpacing/>
              <w:rPr>
                <w:rFonts w:ascii="Arial" w:hAnsi="Arial" w:cs="Arial"/>
              </w:rPr>
            </w:pPr>
            <w:r w:rsidRPr="0036287E">
              <w:rPr>
                <w:rFonts w:ascii="Arial" w:hAnsi="Arial" w:cs="Arial"/>
              </w:rPr>
              <w:t>El trámite para dejar sin efecto un acta de inspección.</w:t>
            </w:r>
          </w:p>
          <w:p w:rsidR="00691D2E" w:rsidRDefault="00691D2E" w:rsidP="0036287E">
            <w:pPr>
              <w:pStyle w:val="Prrafodelista"/>
              <w:jc w:val="both"/>
            </w:pPr>
          </w:p>
        </w:tc>
      </w:tr>
      <w:tr w:rsidR="001D2E3B" w:rsidTr="001D2E3B">
        <w:tc>
          <w:tcPr>
            <w:tcW w:w="2830" w:type="dxa"/>
          </w:tcPr>
          <w:p w:rsidR="001D2E3B" w:rsidRPr="00BA7171" w:rsidRDefault="001D2E3B" w:rsidP="001D2E3B">
            <w:pPr>
              <w:jc w:val="center"/>
              <w:rPr>
                <w:b/>
              </w:rPr>
            </w:pPr>
            <w:r w:rsidRPr="00BA7171">
              <w:rPr>
                <w:b/>
              </w:rPr>
              <w:t>¿Qué datos personales serán recabados?</w:t>
            </w:r>
          </w:p>
        </w:tc>
        <w:tc>
          <w:tcPr>
            <w:tcW w:w="5998" w:type="dxa"/>
          </w:tcPr>
          <w:p w:rsidR="001D2E3B" w:rsidRDefault="00F43480" w:rsidP="00F43480">
            <w:pPr>
              <w:pStyle w:val="Prrafodelista"/>
              <w:numPr>
                <w:ilvl w:val="0"/>
                <w:numId w:val="3"/>
              </w:numPr>
              <w:jc w:val="both"/>
            </w:pPr>
            <w:r>
              <w:t>Nombre</w:t>
            </w:r>
          </w:p>
          <w:p w:rsidR="00F43480" w:rsidRDefault="00F43480" w:rsidP="00F43480">
            <w:pPr>
              <w:pStyle w:val="Prrafodelista"/>
              <w:numPr>
                <w:ilvl w:val="0"/>
                <w:numId w:val="3"/>
              </w:numPr>
              <w:jc w:val="both"/>
            </w:pPr>
            <w:r>
              <w:t>Domicilio</w:t>
            </w:r>
          </w:p>
          <w:p w:rsidR="00F43480" w:rsidRDefault="00F43480" w:rsidP="00F43480">
            <w:pPr>
              <w:pStyle w:val="Prrafodelista"/>
              <w:numPr>
                <w:ilvl w:val="0"/>
                <w:numId w:val="3"/>
              </w:numPr>
              <w:jc w:val="both"/>
            </w:pPr>
            <w:r>
              <w:t>Número telefónico</w:t>
            </w:r>
          </w:p>
          <w:p w:rsidR="00F43480" w:rsidRDefault="00F43480" w:rsidP="00F43480">
            <w:pPr>
              <w:pStyle w:val="Prrafodelista"/>
              <w:numPr>
                <w:ilvl w:val="0"/>
                <w:numId w:val="3"/>
              </w:numPr>
              <w:jc w:val="both"/>
            </w:pPr>
            <w:r>
              <w:t>Correo electrónico</w:t>
            </w:r>
          </w:p>
          <w:p w:rsidR="00F43480" w:rsidRDefault="00F43480" w:rsidP="00F43480">
            <w:pPr>
              <w:pStyle w:val="Prrafodelista"/>
              <w:numPr>
                <w:ilvl w:val="0"/>
                <w:numId w:val="3"/>
              </w:numPr>
              <w:jc w:val="both"/>
            </w:pPr>
            <w:r>
              <w:t>Nacionalidad</w:t>
            </w:r>
          </w:p>
          <w:p w:rsidR="00F43480" w:rsidRDefault="00F43480" w:rsidP="00F43480">
            <w:pPr>
              <w:pStyle w:val="Prrafodelista"/>
              <w:numPr>
                <w:ilvl w:val="0"/>
                <w:numId w:val="3"/>
              </w:numPr>
              <w:jc w:val="both"/>
            </w:pPr>
            <w:r>
              <w:t>Edad</w:t>
            </w:r>
          </w:p>
          <w:p w:rsidR="00F43480" w:rsidRDefault="00F43480" w:rsidP="00F43480">
            <w:pPr>
              <w:pStyle w:val="Prrafodelista"/>
              <w:jc w:val="both"/>
            </w:pPr>
          </w:p>
        </w:tc>
      </w:tr>
      <w:tr w:rsidR="001D2E3B" w:rsidTr="001D2E3B">
        <w:tc>
          <w:tcPr>
            <w:tcW w:w="2830" w:type="dxa"/>
          </w:tcPr>
          <w:p w:rsidR="001D2E3B" w:rsidRPr="00BA7171" w:rsidRDefault="001D2E3B" w:rsidP="001D2E3B">
            <w:pPr>
              <w:jc w:val="center"/>
              <w:rPr>
                <w:b/>
              </w:rPr>
            </w:pPr>
            <w:r w:rsidRPr="00BA7171">
              <w:rPr>
                <w:b/>
              </w:rPr>
              <w:t>Transferencia de datos</w:t>
            </w:r>
          </w:p>
        </w:tc>
        <w:tc>
          <w:tcPr>
            <w:tcW w:w="5998" w:type="dxa"/>
          </w:tcPr>
          <w:p w:rsidR="001D2E3B" w:rsidRDefault="001D2E3B" w:rsidP="001D2E3B">
            <w:pPr>
              <w:jc w:val="center"/>
            </w:pPr>
          </w:p>
          <w:tbl>
            <w:tblPr>
              <w:tblStyle w:val="Tablaconcuadrcula"/>
              <w:tblW w:w="0" w:type="auto"/>
              <w:tblLook w:val="04A0" w:firstRow="1" w:lastRow="0" w:firstColumn="1" w:lastColumn="0" w:noHBand="0" w:noVBand="1"/>
            </w:tblPr>
            <w:tblGrid>
              <w:gridCol w:w="2886"/>
              <w:gridCol w:w="2886"/>
            </w:tblGrid>
            <w:tr w:rsidR="006C60FC" w:rsidTr="006C60FC">
              <w:tc>
                <w:tcPr>
                  <w:tcW w:w="2886" w:type="dxa"/>
                </w:tcPr>
                <w:p w:rsidR="006C60FC" w:rsidRPr="00B46433" w:rsidRDefault="00B46433" w:rsidP="00B46433">
                  <w:pPr>
                    <w:rPr>
                      <w:b/>
                    </w:rPr>
                  </w:pPr>
                  <w:r w:rsidRPr="00B46433">
                    <w:rPr>
                      <w:b/>
                    </w:rPr>
                    <w:t>Dependencia (s) o Institucionales con las que se comparte los datos personales con motivo del trámite que se realiza</w:t>
                  </w:r>
                </w:p>
              </w:tc>
              <w:tc>
                <w:tcPr>
                  <w:tcW w:w="2886" w:type="dxa"/>
                </w:tcPr>
                <w:p w:rsidR="006C60FC" w:rsidRPr="00B46433" w:rsidRDefault="00B46433" w:rsidP="00B46433">
                  <w:pPr>
                    <w:jc w:val="both"/>
                    <w:rPr>
                      <w:b/>
                    </w:rPr>
                  </w:pPr>
                  <w:r w:rsidRPr="00B46433">
                    <w:rPr>
                      <w:b/>
                    </w:rPr>
                    <w:t>Finalidad para la que se transmite la información.</w:t>
                  </w:r>
                </w:p>
              </w:tc>
            </w:tr>
            <w:tr w:rsidR="006C60FC" w:rsidTr="006C60FC">
              <w:tc>
                <w:tcPr>
                  <w:tcW w:w="2886" w:type="dxa"/>
                </w:tcPr>
                <w:p w:rsidR="006C60FC" w:rsidRDefault="00C5250A" w:rsidP="00C5250A">
                  <w:pPr>
                    <w:jc w:val="both"/>
                  </w:pPr>
                  <w:r>
                    <w:t>Auditoría Superior del Estado de Jalisco</w:t>
                  </w:r>
                </w:p>
              </w:tc>
              <w:tc>
                <w:tcPr>
                  <w:tcW w:w="2886" w:type="dxa"/>
                </w:tcPr>
                <w:p w:rsidR="00C5250A" w:rsidRDefault="00C5250A" w:rsidP="00C5250A">
                  <w:pPr>
                    <w:jc w:val="both"/>
                  </w:pPr>
                  <w:r>
                    <w:t xml:space="preserve">Le informamos que sus datos </w:t>
                  </w:r>
                </w:p>
                <w:p w:rsidR="00C5250A" w:rsidRDefault="00C5250A" w:rsidP="00C5250A">
                  <w:pPr>
                    <w:jc w:val="both"/>
                  </w:pPr>
                  <w:r>
                    <w:t xml:space="preserve">personales serán compartidos con la Auditoría Superior del Estado de Jalisco, para dar cumplimiento a la obligación de fiscalización y rendición de </w:t>
                  </w:r>
                </w:p>
                <w:p w:rsidR="00C5250A" w:rsidRDefault="00C5250A" w:rsidP="00C5250A">
                  <w:pPr>
                    <w:jc w:val="both"/>
                  </w:pPr>
                  <w:r>
                    <w:t xml:space="preserve">cuentas constitucionalmente </w:t>
                  </w:r>
                </w:p>
                <w:p w:rsidR="006C60FC" w:rsidRDefault="008402C9" w:rsidP="00C5250A">
                  <w:pPr>
                    <w:jc w:val="both"/>
                  </w:pPr>
                  <w:proofErr w:type="gramStart"/>
                  <w:r>
                    <w:lastRenderedPageBreak/>
                    <w:t>establecida</w:t>
                  </w:r>
                  <w:proofErr w:type="gramEnd"/>
                  <w:r w:rsidR="00C5250A">
                    <w:t>, debido a que es necesario justificar a quién se erogó recurso público.</w:t>
                  </w:r>
                </w:p>
              </w:tc>
            </w:tr>
            <w:tr w:rsidR="006C60FC" w:rsidTr="006C60FC">
              <w:tc>
                <w:tcPr>
                  <w:tcW w:w="2886" w:type="dxa"/>
                </w:tcPr>
                <w:p w:rsidR="006C60FC" w:rsidRDefault="008402C9" w:rsidP="008402C9">
                  <w:pPr>
                    <w:jc w:val="both"/>
                  </w:pPr>
                  <w:r>
                    <w:lastRenderedPageBreak/>
                    <w:t>Procuraduría de Desarrollo Urbano del Estado de Jalisco</w:t>
                  </w:r>
                </w:p>
              </w:tc>
              <w:tc>
                <w:tcPr>
                  <w:tcW w:w="2886" w:type="dxa"/>
                </w:tcPr>
                <w:p w:rsidR="008402C9" w:rsidRDefault="008402C9" w:rsidP="008402C9">
                  <w:pPr>
                    <w:jc w:val="both"/>
                  </w:pPr>
                  <w:r>
                    <w:t xml:space="preserve">Le informamos que sus datos </w:t>
                  </w:r>
                </w:p>
                <w:p w:rsidR="006C60FC" w:rsidRDefault="008402C9" w:rsidP="008402C9">
                  <w:pPr>
                    <w:jc w:val="both"/>
                  </w:pPr>
                  <w:r>
                    <w:t>personales serán compartidos con la Procuraduría de Desarrollo Urbano del Estado de Jalisco, para dar cumplimiento a la obligación de coordinación con dicha dependencia</w:t>
                  </w:r>
                </w:p>
              </w:tc>
            </w:tr>
            <w:tr w:rsidR="006C60FC" w:rsidTr="006C60FC">
              <w:tc>
                <w:tcPr>
                  <w:tcW w:w="2886" w:type="dxa"/>
                </w:tcPr>
                <w:p w:rsidR="008402C9" w:rsidRDefault="008402C9" w:rsidP="008402C9">
                  <w:pPr>
                    <w:jc w:val="both"/>
                  </w:pPr>
                  <w:r>
                    <w:t xml:space="preserve">Fiscalía General del Estado de </w:t>
                  </w:r>
                </w:p>
                <w:p w:rsidR="006C60FC" w:rsidRDefault="008402C9" w:rsidP="008402C9">
                  <w:pPr>
                    <w:jc w:val="both"/>
                  </w:pPr>
                  <w:r>
                    <w:t>Jalisco</w:t>
                  </w:r>
                </w:p>
              </w:tc>
              <w:tc>
                <w:tcPr>
                  <w:tcW w:w="2886" w:type="dxa"/>
                </w:tcPr>
                <w:p w:rsidR="006F1076" w:rsidRDefault="006F1076" w:rsidP="006F1076">
                  <w:pPr>
                    <w:jc w:val="both"/>
                  </w:pPr>
                  <w:r>
                    <w:t xml:space="preserve">Le informamos que sus datos </w:t>
                  </w:r>
                </w:p>
                <w:p w:rsidR="006F1076" w:rsidRDefault="006F1076" w:rsidP="006F1076">
                  <w:pPr>
                    <w:jc w:val="both"/>
                  </w:pPr>
                  <w:r>
                    <w:t xml:space="preserve">personales serán compartidos con la Fiscalía General del Estado de Jalisco, para dar cumplimiento a la obligación </w:t>
                  </w:r>
                </w:p>
                <w:p w:rsidR="006C60FC" w:rsidRDefault="006F1076" w:rsidP="006F1076">
                  <w:pPr>
                    <w:jc w:val="both"/>
                  </w:pPr>
                  <w:r>
                    <w:t>de coordinación dependencia</w:t>
                  </w:r>
                </w:p>
              </w:tc>
            </w:tr>
            <w:tr w:rsidR="006C60FC" w:rsidTr="006C60FC">
              <w:tc>
                <w:tcPr>
                  <w:tcW w:w="2886" w:type="dxa"/>
                </w:tcPr>
                <w:p w:rsidR="006C60FC" w:rsidRDefault="008402C9" w:rsidP="00C5250A">
                  <w:pPr>
                    <w:jc w:val="both"/>
                  </w:pPr>
                  <w:r w:rsidRPr="008402C9">
                    <w:t>Poder Judicial de la Federación</w:t>
                  </w:r>
                </w:p>
              </w:tc>
              <w:tc>
                <w:tcPr>
                  <w:tcW w:w="2886" w:type="dxa"/>
                </w:tcPr>
                <w:p w:rsidR="006F1076" w:rsidRDefault="00D14153" w:rsidP="006F1076">
                  <w:pPr>
                    <w:jc w:val="both"/>
                  </w:pPr>
                  <w:r>
                    <w:t xml:space="preserve">Le </w:t>
                  </w:r>
                  <w:r w:rsidR="006F1076">
                    <w:t xml:space="preserve"> informamos que sus datos </w:t>
                  </w:r>
                </w:p>
                <w:p w:rsidR="006C60FC" w:rsidRDefault="006F1076" w:rsidP="006F1076">
                  <w:pPr>
                    <w:jc w:val="both"/>
                  </w:pPr>
                  <w:r>
                    <w:t>personales serán compartidos con el</w:t>
                  </w:r>
                  <w:r w:rsidR="00D14153">
                    <w:t xml:space="preserve"> </w:t>
                  </w:r>
                  <w:r>
                    <w:t>Poder Judicial de la Federación, para dar cumplimiento a la obligación de coordinación con dicha dependencia</w:t>
                  </w:r>
                </w:p>
              </w:tc>
            </w:tr>
            <w:tr w:rsidR="006C60FC" w:rsidTr="006C60FC">
              <w:tc>
                <w:tcPr>
                  <w:tcW w:w="2886" w:type="dxa"/>
                </w:tcPr>
                <w:p w:rsidR="006C60FC" w:rsidRDefault="006F1076" w:rsidP="00C5250A">
                  <w:pPr>
                    <w:jc w:val="both"/>
                  </w:pPr>
                  <w:r w:rsidRPr="006F1076">
                    <w:t>Poder Judicial del Estado de Jalisco</w:t>
                  </w:r>
                </w:p>
              </w:tc>
              <w:tc>
                <w:tcPr>
                  <w:tcW w:w="2886" w:type="dxa"/>
                </w:tcPr>
                <w:p w:rsidR="00D14153" w:rsidRDefault="00D14153" w:rsidP="00D14153">
                  <w:pPr>
                    <w:jc w:val="both"/>
                  </w:pPr>
                  <w:r>
                    <w:t xml:space="preserve">Le </w:t>
                  </w:r>
                  <w:r>
                    <w:t xml:space="preserve">informamos que sus datos </w:t>
                  </w:r>
                </w:p>
                <w:p w:rsidR="00D14153" w:rsidRDefault="00D14153" w:rsidP="00D14153">
                  <w:pPr>
                    <w:jc w:val="both"/>
                  </w:pPr>
                  <w:r>
                    <w:t>perso</w:t>
                  </w:r>
                  <w:r>
                    <w:t xml:space="preserve">nales serán compartidos con el </w:t>
                  </w:r>
                  <w:r>
                    <w:t>Poder J</w:t>
                  </w:r>
                  <w:r>
                    <w:t xml:space="preserve">udicial del Estado de Jalisco, </w:t>
                  </w:r>
                  <w:r>
                    <w:t xml:space="preserve">para dar cumplimiento a la obligación </w:t>
                  </w:r>
                </w:p>
                <w:p w:rsidR="00D14153" w:rsidRDefault="00D14153" w:rsidP="00D14153">
                  <w:pPr>
                    <w:jc w:val="both"/>
                  </w:pPr>
                  <w:r>
                    <w:t xml:space="preserve">de coordinación </w:t>
                  </w:r>
                  <w:r>
                    <w:t xml:space="preserve">dependencia </w:t>
                  </w:r>
                </w:p>
                <w:p w:rsidR="006C60FC" w:rsidRDefault="006C60FC" w:rsidP="00D14153">
                  <w:pPr>
                    <w:jc w:val="both"/>
                  </w:pPr>
                </w:p>
              </w:tc>
            </w:tr>
            <w:tr w:rsidR="006F1076" w:rsidTr="006C60FC">
              <w:tc>
                <w:tcPr>
                  <w:tcW w:w="2886" w:type="dxa"/>
                </w:tcPr>
                <w:p w:rsidR="006F1076" w:rsidRDefault="006F1076" w:rsidP="006F1076">
                  <w:pPr>
                    <w:jc w:val="both"/>
                  </w:pPr>
                  <w:r>
                    <w:t xml:space="preserve">Comisión Humanos Estatal </w:t>
                  </w:r>
                </w:p>
                <w:p w:rsidR="006F1076" w:rsidRPr="006F1076" w:rsidRDefault="006F1076" w:rsidP="006F1076">
                  <w:pPr>
                    <w:jc w:val="both"/>
                  </w:pPr>
                  <w:r>
                    <w:t>de Derecho</w:t>
                  </w:r>
                </w:p>
              </w:tc>
              <w:tc>
                <w:tcPr>
                  <w:tcW w:w="2886" w:type="dxa"/>
                </w:tcPr>
                <w:p w:rsidR="00D14153" w:rsidRDefault="00D14153" w:rsidP="00D14153">
                  <w:pPr>
                    <w:jc w:val="both"/>
                  </w:pPr>
                  <w:r>
                    <w:t xml:space="preserve">Le </w:t>
                  </w:r>
                  <w:r>
                    <w:t xml:space="preserve">informamos que sus datos </w:t>
                  </w:r>
                </w:p>
                <w:p w:rsidR="00D14153" w:rsidRDefault="00D14153" w:rsidP="00D14153">
                  <w:pPr>
                    <w:jc w:val="both"/>
                  </w:pPr>
                  <w:r>
                    <w:t>personales serán com</w:t>
                  </w:r>
                  <w:r>
                    <w:t xml:space="preserve">partidos con </w:t>
                  </w:r>
                  <w:r>
                    <w:t>la</w:t>
                  </w:r>
                  <w:r>
                    <w:t xml:space="preserve"> Comisión Estatal </w:t>
                  </w:r>
                  <w:r>
                    <w:t xml:space="preserve">de </w:t>
                  </w:r>
                </w:p>
                <w:p w:rsidR="00D14153" w:rsidRDefault="00D14153" w:rsidP="00D14153">
                  <w:pPr>
                    <w:jc w:val="both"/>
                  </w:pPr>
                  <w:r>
                    <w:t xml:space="preserve">Derechos </w:t>
                  </w:r>
                  <w:r>
                    <w:t>Human</w:t>
                  </w:r>
                  <w:r>
                    <w:t xml:space="preserve">os, para dar cumplimiento a la </w:t>
                  </w:r>
                  <w:r>
                    <w:t xml:space="preserve">obligación de coordinación con dicha </w:t>
                  </w:r>
                </w:p>
                <w:p w:rsidR="006F1076" w:rsidRDefault="00D14153" w:rsidP="00D14153">
                  <w:pPr>
                    <w:jc w:val="both"/>
                  </w:pPr>
                  <w:r>
                    <w:t>dependencia</w:t>
                  </w:r>
                </w:p>
              </w:tc>
            </w:tr>
          </w:tbl>
          <w:p w:rsidR="006C60FC" w:rsidRDefault="006C60FC" w:rsidP="006C60FC">
            <w:pPr>
              <w:jc w:val="both"/>
            </w:pPr>
          </w:p>
        </w:tc>
      </w:tr>
      <w:tr w:rsidR="001D2E3B" w:rsidTr="001D2E3B">
        <w:tc>
          <w:tcPr>
            <w:tcW w:w="2830" w:type="dxa"/>
          </w:tcPr>
          <w:p w:rsidR="001D2E3B" w:rsidRPr="00BA7171" w:rsidRDefault="001D2E3B" w:rsidP="001D2E3B">
            <w:pPr>
              <w:jc w:val="center"/>
              <w:rPr>
                <w:b/>
              </w:rPr>
            </w:pPr>
            <w:r w:rsidRPr="00BA7171">
              <w:rPr>
                <w:b/>
              </w:rPr>
              <w:lastRenderedPageBreak/>
              <w:t>Usted puede revocar su consentimiento para el uso de sus datos personales</w:t>
            </w:r>
          </w:p>
        </w:tc>
        <w:tc>
          <w:tcPr>
            <w:tcW w:w="5998" w:type="dxa"/>
          </w:tcPr>
          <w:p w:rsidR="00BA7171" w:rsidRPr="00BA7171" w:rsidRDefault="00BA7171" w:rsidP="00BA7171">
            <w:pPr>
              <w:jc w:val="center"/>
              <w:rPr>
                <w:b/>
              </w:rPr>
            </w:pPr>
            <w:r w:rsidRPr="00BA7171">
              <w:rPr>
                <w:b/>
              </w:rPr>
              <w:t>Usted puede revocar su consentimiento para el uso de sus datos personales</w:t>
            </w:r>
          </w:p>
          <w:p w:rsidR="00BA7171" w:rsidRDefault="00BA7171" w:rsidP="00BA7171">
            <w:pPr>
              <w:jc w:val="both"/>
            </w:pPr>
            <w:r>
              <w:t xml:space="preserve">En el caso de que desee revocar el consentimiento del uso de sus datos personales, se hace de su conocimiento que se entiende que desea desistirse del trámite, por lo que su solicitud será desechada. </w:t>
            </w:r>
          </w:p>
          <w:p w:rsidR="00BA7171" w:rsidRDefault="00BA7171" w:rsidP="00BA7171">
            <w:pPr>
              <w:jc w:val="both"/>
            </w:pPr>
          </w:p>
          <w:p w:rsidR="00BA7171" w:rsidRDefault="00BA7171" w:rsidP="00BA7171">
            <w:pPr>
              <w:jc w:val="both"/>
            </w:pPr>
            <w:r>
              <w:t xml:space="preserve">Para revocar su consentimiento deberá presentar un escrito en la Unidad de Transparencia de este Ayuntamiento de Tonalá Jalisco, o directamente en las oficinas de la Jefatura de Inspección a </w:t>
            </w:r>
            <w:r>
              <w:lastRenderedPageBreak/>
              <w:t xml:space="preserve">Urbanización y Patrimonio, en donde manifieste su deseo de revocar el consentimiento para el uso de sus datos personales. </w:t>
            </w:r>
          </w:p>
          <w:p w:rsidR="00BA7171" w:rsidRDefault="00BA7171" w:rsidP="00BA7171">
            <w:pPr>
              <w:jc w:val="both"/>
            </w:pPr>
          </w:p>
          <w:p w:rsidR="00BA7171" w:rsidRDefault="00BA7171" w:rsidP="00BA7171">
            <w:pPr>
              <w:jc w:val="both"/>
            </w:pPr>
            <w:r>
              <w:t xml:space="preserve">Los requisitos que debe contener el escrito para solicitar la revocación del consentimiento son los siguientes: </w:t>
            </w:r>
          </w:p>
          <w:p w:rsidR="00BA7171" w:rsidRDefault="00BA7171" w:rsidP="00BA7171">
            <w:pPr>
              <w:jc w:val="both"/>
            </w:pPr>
          </w:p>
          <w:p w:rsidR="00BA7171" w:rsidRDefault="00BA7171" w:rsidP="00BA7171">
            <w:pPr>
              <w:jc w:val="both"/>
            </w:pPr>
            <w:r>
              <w:t>I. Nombre del solicitante</w:t>
            </w:r>
          </w:p>
          <w:p w:rsidR="00BA7171" w:rsidRDefault="00BA7171" w:rsidP="00BA7171">
            <w:pPr>
              <w:jc w:val="both"/>
            </w:pPr>
            <w:r>
              <w:t>II. Número de Folio de Acta de Inspección (opcional)</w:t>
            </w:r>
          </w:p>
          <w:p w:rsidR="00BA7171" w:rsidRDefault="00BA7171" w:rsidP="00BA7171">
            <w:pPr>
              <w:jc w:val="both"/>
            </w:pPr>
            <w:r>
              <w:t xml:space="preserve">III. Manifestación clara y expresa de la revocación del consentimiento del uso de datos personales. </w:t>
            </w:r>
          </w:p>
          <w:p w:rsidR="00BA7171" w:rsidRDefault="00BA7171" w:rsidP="00BA7171">
            <w:pPr>
              <w:jc w:val="both"/>
            </w:pPr>
            <w:r>
              <w:t xml:space="preserve">IV. Firma del solicitante. </w:t>
            </w:r>
          </w:p>
          <w:p w:rsidR="00BA7171" w:rsidRDefault="00BA7171" w:rsidP="00BA7171">
            <w:pPr>
              <w:jc w:val="both"/>
            </w:pPr>
          </w:p>
          <w:p w:rsidR="001D2E3B" w:rsidRDefault="00BA7171" w:rsidP="00BA7171">
            <w:pPr>
              <w:jc w:val="both"/>
            </w:pPr>
            <w:r>
              <w:t>Para conocer el procedimiento para la revocación del consentimiento, puede acudir a la Unidad de Transparencia de Tonalá o la Jefatura de Control de Edificación</w:t>
            </w:r>
          </w:p>
        </w:tc>
      </w:tr>
      <w:tr w:rsidR="001D2E3B" w:rsidTr="001D2E3B">
        <w:tc>
          <w:tcPr>
            <w:tcW w:w="2830" w:type="dxa"/>
          </w:tcPr>
          <w:p w:rsidR="001D2E3B" w:rsidRPr="00BA7171" w:rsidRDefault="001D2E3B" w:rsidP="001D2E3B">
            <w:pPr>
              <w:jc w:val="center"/>
              <w:rPr>
                <w:b/>
              </w:rPr>
            </w:pPr>
            <w:r w:rsidRPr="00BA7171">
              <w:rPr>
                <w:b/>
              </w:rPr>
              <w:lastRenderedPageBreak/>
              <w:t>¿Dónde puedo consultar el aviso de privacidad integral?</w:t>
            </w:r>
          </w:p>
        </w:tc>
        <w:tc>
          <w:tcPr>
            <w:tcW w:w="5998" w:type="dxa"/>
          </w:tcPr>
          <w:p w:rsidR="001D2E3B" w:rsidRDefault="001D2E3B" w:rsidP="001D2E3B">
            <w:pPr>
              <w:jc w:val="both"/>
            </w:pPr>
            <w:r>
              <w:t xml:space="preserve">El presente aviso de privacidad puede sufrir cambios, derivadas de nuevos requerimientos legales; de nuestras propias necesidades; de nuestras prácticas de privacidad. </w:t>
            </w:r>
          </w:p>
          <w:p w:rsidR="001D2E3B" w:rsidRDefault="001D2E3B" w:rsidP="001D2E3B">
            <w:pPr>
              <w:jc w:val="both"/>
            </w:pPr>
            <w:r>
              <w:t xml:space="preserve"> </w:t>
            </w:r>
          </w:p>
          <w:p w:rsidR="00BA7171" w:rsidRDefault="001D2E3B" w:rsidP="001D2E3B">
            <w:pPr>
              <w:jc w:val="both"/>
            </w:pPr>
            <w:r>
              <w:t xml:space="preserve">Nos comprometemos a mantenerlo informado sobre los cambios que pueda sufrir el presente de privacidad, a través de: http:http://tonala.gob.mx. </w:t>
            </w:r>
          </w:p>
          <w:p w:rsidR="00BA7171" w:rsidRDefault="00BA7171" w:rsidP="001D2E3B">
            <w:pPr>
              <w:jc w:val="both"/>
            </w:pPr>
          </w:p>
          <w:p w:rsidR="001D2E3B" w:rsidRDefault="001D2E3B" w:rsidP="001D2E3B">
            <w:pPr>
              <w:jc w:val="both"/>
            </w:pPr>
            <w:r>
              <w:t>Las notificaciones sobre cambios o actualizaciones al presente aviso de privacidad se publicará en la Unidad de Transparencia de Tonalá Jalisco, así como en el sitio de internet: http://tonala.gob.mx</w:t>
            </w:r>
          </w:p>
        </w:tc>
      </w:tr>
    </w:tbl>
    <w:p w:rsidR="001D2E3B" w:rsidRDefault="001D2E3B" w:rsidP="001D2E3B">
      <w:pPr>
        <w:spacing w:after="0"/>
        <w:jc w:val="center"/>
      </w:pPr>
    </w:p>
    <w:sectPr w:rsidR="001D2E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3BB1"/>
    <w:multiLevelType w:val="hybridMultilevel"/>
    <w:tmpl w:val="8EC0E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910B32"/>
    <w:multiLevelType w:val="hybridMultilevel"/>
    <w:tmpl w:val="7E84209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606B2DDE"/>
    <w:multiLevelType w:val="hybridMultilevel"/>
    <w:tmpl w:val="B97A2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3B"/>
    <w:rsid w:val="00063198"/>
    <w:rsid w:val="001D2E3B"/>
    <w:rsid w:val="00274500"/>
    <w:rsid w:val="0036287E"/>
    <w:rsid w:val="005C7EFD"/>
    <w:rsid w:val="00691D2E"/>
    <w:rsid w:val="006C60FC"/>
    <w:rsid w:val="006F1076"/>
    <w:rsid w:val="008402C9"/>
    <w:rsid w:val="00B46433"/>
    <w:rsid w:val="00BA7171"/>
    <w:rsid w:val="00C5250A"/>
    <w:rsid w:val="00CA08DF"/>
    <w:rsid w:val="00D14153"/>
    <w:rsid w:val="00D642A4"/>
    <w:rsid w:val="00F43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28FF7-F876-465A-9DE7-35E87A10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D2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9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11</cp:revision>
  <dcterms:created xsi:type="dcterms:W3CDTF">2025-11-13T19:41:00Z</dcterms:created>
  <dcterms:modified xsi:type="dcterms:W3CDTF">2025-11-13T21:21:00Z</dcterms:modified>
</cp:coreProperties>
</file>